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E94ED" w14:textId="7CDD3C4B" w:rsidR="00AC1D24" w:rsidRPr="00E46DF1" w:rsidRDefault="001D6D74">
      <w:pPr>
        <w:pStyle w:val="a3"/>
      </w:pPr>
      <w:r>
        <w:fldChar w:fldCharType="begin"/>
      </w:r>
      <w:r>
        <w:instrText xml:space="preserve"> MACROBUTTON AMEditEquationSection2 </w:instrText>
      </w:r>
      <w:r w:rsidRPr="001D6D74">
        <w:rPr>
          <w:rStyle w:val="AMEquationSection"/>
        </w:rPr>
        <w:instrText>Equation Chapter 1 Section 1</w:instrText>
      </w:r>
      <w:r>
        <w:fldChar w:fldCharType="begin"/>
      </w:r>
      <w:r>
        <w:instrText xml:space="preserve"> SEQ AMEqn \r \h \* MERGEFORMAT </w:instrText>
      </w:r>
      <w:r>
        <w:fldChar w:fldCharType="end"/>
      </w:r>
      <w:r>
        <w:fldChar w:fldCharType="begin"/>
      </w:r>
      <w:r>
        <w:instrText xml:space="preserve"> SEQ AMSec \r 1 \h \* MERGEFORMAT </w:instrText>
      </w:r>
      <w:r>
        <w:fldChar w:fldCharType="end"/>
      </w:r>
      <w:r>
        <w:fldChar w:fldCharType="begin"/>
      </w:r>
      <w:r>
        <w:instrText xml:space="preserve"> SEQ AMChap \r 1 \h \* MERGEFORMAT </w:instrText>
      </w:r>
      <w:r>
        <w:fldChar w:fldCharType="end"/>
      </w:r>
      <w:r>
        <w:fldChar w:fldCharType="end"/>
      </w:r>
      <w:r w:rsidR="002066A4" w:rsidRPr="002066A4">
        <w:t>Effect of bank slope and ambient groundwater discharge on hyporheic transport and biogeochemical reactions in a compound channel</w:t>
      </w:r>
      <w:r w:rsidR="00AC1D24" w:rsidRPr="00E46DF1">
        <w:t xml:space="preserve"> </w:t>
      </w:r>
    </w:p>
    <w:p w14:paraId="0D24326D" w14:textId="77777777" w:rsidR="00AC1D24" w:rsidRPr="00E46DF1" w:rsidRDefault="00AC1D24" w:rsidP="003F6428"/>
    <w:p w14:paraId="40AF2968" w14:textId="6D3309CD" w:rsidR="00AC1D24" w:rsidRPr="00E46DF1" w:rsidRDefault="002066A4">
      <w:pPr>
        <w:pStyle w:val="Author"/>
        <w:spacing w:line="260" w:lineRule="exact"/>
        <w:rPr>
          <w:sz w:val="20"/>
        </w:rPr>
      </w:pPr>
      <w:r w:rsidRPr="002066A4">
        <w:rPr>
          <w:sz w:val="20"/>
        </w:rPr>
        <w:t>JIAMING LIU</w:t>
      </w:r>
    </w:p>
    <w:p w14:paraId="69B7FC1A" w14:textId="7AB63AA8" w:rsidR="002066A4" w:rsidRPr="002066A4" w:rsidRDefault="002066A4" w:rsidP="002066A4">
      <w:pPr>
        <w:pStyle w:val="Affiliation"/>
        <w:adjustRightInd w:val="0"/>
        <w:snapToGrid w:val="0"/>
        <w:spacing w:before="0" w:after="0" w:line="260" w:lineRule="exact"/>
        <w:rPr>
          <w:sz w:val="20"/>
        </w:rPr>
      </w:pPr>
      <w:r w:rsidRPr="002066A4">
        <w:rPr>
          <w:sz w:val="20"/>
        </w:rPr>
        <w:t xml:space="preserve">College of Water Conservancy and Hydropower Engineering, </w:t>
      </w:r>
      <w:proofErr w:type="spellStart"/>
      <w:r w:rsidRPr="002066A4">
        <w:rPr>
          <w:sz w:val="20"/>
        </w:rPr>
        <w:t>Hohai</w:t>
      </w:r>
      <w:proofErr w:type="spellEnd"/>
      <w:r w:rsidRPr="002066A4">
        <w:rPr>
          <w:sz w:val="20"/>
        </w:rPr>
        <w:t xml:space="preserve"> University</w:t>
      </w:r>
      <w:r>
        <w:rPr>
          <w:rFonts w:ascii="宋体" w:eastAsia="宋体" w:hAnsi="宋体" w:cs="宋体" w:hint="eastAsia"/>
          <w:sz w:val="20"/>
          <w:lang w:eastAsia="zh-CN"/>
        </w:rPr>
        <w:t>,</w:t>
      </w:r>
      <w:r w:rsidRPr="002066A4">
        <w:rPr>
          <w:sz w:val="20"/>
        </w:rPr>
        <w:t xml:space="preserve"> Nanjing, China</w:t>
      </w:r>
    </w:p>
    <w:p w14:paraId="599567E2" w14:textId="53BF3E97" w:rsidR="00845712" w:rsidRDefault="002066A4" w:rsidP="002066A4">
      <w:pPr>
        <w:pStyle w:val="Affiliation"/>
        <w:adjustRightInd w:val="0"/>
        <w:snapToGrid w:val="0"/>
        <w:spacing w:before="0" w:after="0" w:line="260" w:lineRule="exact"/>
        <w:rPr>
          <w:sz w:val="20"/>
        </w:rPr>
      </w:pPr>
      <w:r w:rsidRPr="002066A4">
        <w:rPr>
          <w:sz w:val="20"/>
        </w:rPr>
        <w:t xml:space="preserve">State Key Laboratory of Hydrology, Water Resources and Hydraulic Engineering, </w:t>
      </w:r>
      <w:proofErr w:type="spellStart"/>
      <w:r w:rsidRPr="002066A4">
        <w:rPr>
          <w:sz w:val="20"/>
        </w:rPr>
        <w:t>Hohai</w:t>
      </w:r>
      <w:proofErr w:type="spellEnd"/>
      <w:r w:rsidRPr="002066A4">
        <w:rPr>
          <w:sz w:val="20"/>
        </w:rPr>
        <w:t xml:space="preserve"> University </w:t>
      </w:r>
    </w:p>
    <w:p w14:paraId="4D1DFB19" w14:textId="4C4A4DBF" w:rsidR="002066A4" w:rsidRPr="002066A4" w:rsidRDefault="002066A4" w:rsidP="002066A4">
      <w:pPr>
        <w:pStyle w:val="Affiliation"/>
        <w:adjustRightInd w:val="0"/>
        <w:snapToGrid w:val="0"/>
        <w:spacing w:before="0" w:after="0" w:line="260" w:lineRule="exact"/>
        <w:rPr>
          <w:sz w:val="20"/>
        </w:rPr>
      </w:pPr>
      <w:r w:rsidRPr="002066A4">
        <w:rPr>
          <w:sz w:val="20"/>
        </w:rPr>
        <w:t>Nanjing, China</w:t>
      </w:r>
    </w:p>
    <w:p w14:paraId="60CA51E5" w14:textId="77777777" w:rsidR="00AC1D24" w:rsidRPr="00E46DF1" w:rsidRDefault="00AC1D24" w:rsidP="003F6428"/>
    <w:p w14:paraId="4CB4A8D0" w14:textId="1AAEB0DD" w:rsidR="00AC1D24" w:rsidRPr="00E46DF1" w:rsidRDefault="002066A4">
      <w:pPr>
        <w:pStyle w:val="Author"/>
        <w:spacing w:line="260" w:lineRule="exact"/>
        <w:rPr>
          <w:sz w:val="20"/>
        </w:rPr>
      </w:pPr>
      <w:r w:rsidRPr="002066A4">
        <w:rPr>
          <w:sz w:val="20"/>
        </w:rPr>
        <w:t>YANG XIAO</w:t>
      </w:r>
    </w:p>
    <w:p w14:paraId="6E008AC0" w14:textId="25D7CD48" w:rsidR="00845712" w:rsidRDefault="002066A4" w:rsidP="002066A4">
      <w:pPr>
        <w:pStyle w:val="Affiliation"/>
        <w:spacing w:before="0" w:after="0" w:line="260" w:lineRule="exact"/>
        <w:rPr>
          <w:rFonts w:ascii="宋体" w:eastAsia="宋体" w:hAnsi="宋体" w:cs="宋体"/>
          <w:sz w:val="20"/>
          <w:lang w:eastAsia="zh-CN"/>
        </w:rPr>
      </w:pPr>
      <w:r w:rsidRPr="002066A4">
        <w:rPr>
          <w:sz w:val="20"/>
        </w:rPr>
        <w:t xml:space="preserve">State Key Laboratory of Hydrology, Water Resources and Hydraulic Engineering, </w:t>
      </w:r>
      <w:proofErr w:type="spellStart"/>
      <w:r w:rsidRPr="002066A4">
        <w:rPr>
          <w:sz w:val="20"/>
        </w:rPr>
        <w:t>Hohai</w:t>
      </w:r>
      <w:proofErr w:type="spellEnd"/>
      <w:r w:rsidRPr="002066A4">
        <w:rPr>
          <w:sz w:val="20"/>
        </w:rPr>
        <w:t xml:space="preserve"> University</w:t>
      </w:r>
    </w:p>
    <w:p w14:paraId="1C635486" w14:textId="6AD0F980" w:rsidR="002066A4" w:rsidRPr="002066A4" w:rsidRDefault="002066A4" w:rsidP="002066A4">
      <w:pPr>
        <w:pStyle w:val="Affiliation"/>
        <w:spacing w:before="0" w:after="0" w:line="260" w:lineRule="exact"/>
        <w:rPr>
          <w:sz w:val="20"/>
        </w:rPr>
      </w:pPr>
      <w:r w:rsidRPr="002066A4">
        <w:rPr>
          <w:sz w:val="20"/>
        </w:rPr>
        <w:t xml:space="preserve"> Nanjing, China</w:t>
      </w:r>
    </w:p>
    <w:p w14:paraId="29AE5D51" w14:textId="58BCC305" w:rsidR="002066A4" w:rsidRPr="002066A4" w:rsidRDefault="002066A4" w:rsidP="002066A4">
      <w:pPr>
        <w:pStyle w:val="Affiliation"/>
        <w:spacing w:before="0" w:after="0" w:line="260" w:lineRule="exact"/>
        <w:rPr>
          <w:sz w:val="20"/>
        </w:rPr>
      </w:pPr>
      <w:r w:rsidRPr="002066A4">
        <w:rPr>
          <w:sz w:val="20"/>
        </w:rPr>
        <w:t xml:space="preserve">College of Water Conservancy and Hydropower Engineering, </w:t>
      </w:r>
      <w:proofErr w:type="spellStart"/>
      <w:r w:rsidRPr="002066A4">
        <w:rPr>
          <w:sz w:val="20"/>
        </w:rPr>
        <w:t>Hohai</w:t>
      </w:r>
      <w:proofErr w:type="spellEnd"/>
      <w:r w:rsidRPr="002066A4">
        <w:rPr>
          <w:sz w:val="20"/>
        </w:rPr>
        <w:t xml:space="preserve"> University</w:t>
      </w:r>
      <w:r>
        <w:rPr>
          <w:rFonts w:ascii="宋体" w:eastAsia="宋体" w:hAnsi="宋体" w:cs="宋体" w:hint="eastAsia"/>
          <w:sz w:val="20"/>
          <w:lang w:eastAsia="zh-CN"/>
        </w:rPr>
        <w:t>,</w:t>
      </w:r>
      <w:r w:rsidRPr="002066A4">
        <w:rPr>
          <w:sz w:val="20"/>
        </w:rPr>
        <w:t xml:space="preserve"> Nanjing, China</w:t>
      </w:r>
    </w:p>
    <w:p w14:paraId="42E2078C" w14:textId="76A71ECB" w:rsidR="002066A4" w:rsidRPr="00E46DF1" w:rsidRDefault="002066A4" w:rsidP="002066A4">
      <w:pPr>
        <w:pStyle w:val="Affiliation"/>
        <w:spacing w:before="0" w:after="0" w:line="260" w:lineRule="exact"/>
        <w:rPr>
          <w:sz w:val="20"/>
        </w:rPr>
      </w:pPr>
      <w:r w:rsidRPr="002066A4">
        <w:rPr>
          <w:sz w:val="20"/>
        </w:rPr>
        <w:t xml:space="preserve">Yangtze Institute for Conservation and Development, </w:t>
      </w:r>
      <w:proofErr w:type="spellStart"/>
      <w:r w:rsidRPr="002066A4">
        <w:rPr>
          <w:sz w:val="20"/>
        </w:rPr>
        <w:t>Hohai</w:t>
      </w:r>
      <w:proofErr w:type="spellEnd"/>
      <w:r w:rsidRPr="002066A4">
        <w:rPr>
          <w:sz w:val="20"/>
        </w:rPr>
        <w:t xml:space="preserve"> University</w:t>
      </w:r>
      <w:r>
        <w:rPr>
          <w:rFonts w:ascii="宋体" w:eastAsia="宋体" w:hAnsi="宋体" w:cs="宋体" w:hint="eastAsia"/>
          <w:sz w:val="20"/>
          <w:lang w:eastAsia="zh-CN"/>
        </w:rPr>
        <w:t>,</w:t>
      </w:r>
      <w:r w:rsidRPr="002066A4">
        <w:rPr>
          <w:sz w:val="20"/>
        </w:rPr>
        <w:t xml:space="preserve"> Nanjing, China </w:t>
      </w:r>
    </w:p>
    <w:p w14:paraId="0BB2A2EC" w14:textId="5F632AD6" w:rsidR="002066A4" w:rsidRPr="002066A4" w:rsidRDefault="002066A4" w:rsidP="002066A4">
      <w:pPr>
        <w:pStyle w:val="Affiliation"/>
        <w:spacing w:before="0" w:after="0" w:line="260" w:lineRule="exact"/>
        <w:rPr>
          <w:sz w:val="20"/>
        </w:rPr>
      </w:pPr>
      <w:r w:rsidRPr="002066A4">
        <w:rPr>
          <w:sz w:val="20"/>
        </w:rPr>
        <w:t>School of Environmental Science and Engineering, Suzhou University of Science and Technology, Suzhou, China</w:t>
      </w:r>
    </w:p>
    <w:p w14:paraId="77727AA9" w14:textId="77777777" w:rsidR="003F6428" w:rsidRPr="00E46DF1" w:rsidRDefault="003F6428" w:rsidP="003F6428">
      <w:pPr>
        <w:jc w:val="center"/>
      </w:pPr>
    </w:p>
    <w:p w14:paraId="7DD8A12C" w14:textId="7CA116F3" w:rsidR="003F6428" w:rsidRPr="00E46DF1" w:rsidRDefault="002066A4" w:rsidP="003F6428">
      <w:pPr>
        <w:pStyle w:val="Author"/>
        <w:spacing w:line="260" w:lineRule="exact"/>
        <w:rPr>
          <w:sz w:val="20"/>
        </w:rPr>
      </w:pPr>
      <w:r w:rsidRPr="002066A4">
        <w:rPr>
          <w:sz w:val="20"/>
        </w:rPr>
        <w:t>CARLO GUALTIERI</w:t>
      </w:r>
    </w:p>
    <w:p w14:paraId="08D75DEF" w14:textId="77777777" w:rsidR="002066A4" w:rsidRPr="002066A4" w:rsidRDefault="002066A4" w:rsidP="002066A4">
      <w:pPr>
        <w:pStyle w:val="Affiliation"/>
        <w:spacing w:before="0" w:after="0" w:line="260" w:lineRule="exact"/>
        <w:rPr>
          <w:sz w:val="20"/>
        </w:rPr>
      </w:pPr>
      <w:r w:rsidRPr="002066A4">
        <w:rPr>
          <w:sz w:val="20"/>
        </w:rPr>
        <w:t>Department of Structures for Engineering and Architecture, University of Napoli Federico II</w:t>
      </w:r>
    </w:p>
    <w:p w14:paraId="7AAC17E1" w14:textId="1D77025E" w:rsidR="003F6428" w:rsidRPr="00E46DF1" w:rsidRDefault="002066A4" w:rsidP="002066A4">
      <w:pPr>
        <w:pStyle w:val="Affiliation"/>
        <w:spacing w:before="0" w:after="0" w:line="260" w:lineRule="exact"/>
        <w:rPr>
          <w:sz w:val="20"/>
        </w:rPr>
      </w:pPr>
      <w:r w:rsidRPr="002066A4">
        <w:rPr>
          <w:sz w:val="20"/>
        </w:rPr>
        <w:t xml:space="preserve">Naples, Italy </w:t>
      </w:r>
    </w:p>
    <w:p w14:paraId="371D1F88" w14:textId="77777777" w:rsidR="00AC1D24" w:rsidRPr="00E46DF1" w:rsidRDefault="00AC1D24" w:rsidP="003F6428"/>
    <w:p w14:paraId="5D52466C" w14:textId="4F7CFA5C" w:rsidR="002066A4" w:rsidRPr="002066A4" w:rsidRDefault="003A506C" w:rsidP="00DF0F47">
      <w:pPr>
        <w:pStyle w:val="Abstract"/>
        <w:widowControl w:val="0"/>
        <w:spacing w:line="260" w:lineRule="exact"/>
        <w:ind w:left="0" w:right="24"/>
        <w:rPr>
          <w:sz w:val="20"/>
        </w:rPr>
      </w:pPr>
      <w:r w:rsidRPr="003A506C">
        <w:rPr>
          <w:b/>
          <w:bCs/>
          <w:sz w:val="20"/>
        </w:rPr>
        <w:t>Abstract:</w:t>
      </w:r>
      <w:r>
        <w:rPr>
          <w:sz w:val="20"/>
        </w:rPr>
        <w:t xml:space="preserve"> </w:t>
      </w:r>
      <w:r w:rsidR="002066A4" w:rsidRPr="002066A4">
        <w:rPr>
          <w:sz w:val="20"/>
        </w:rPr>
        <w:t>The hyporheic zone is the volume within streambed where stream water and surface water mix. In a compound channel, as floodplains are submerged, solutes in the water column enter the hyporheic zone and react with the solutes upwelling from the groundwater. Those reactive processes, such as aerobic respiration, nitrification, and denitrification, still need to be clarified. In this paper, a 3D hydrodynamic model coupled to a 2D groundwater and biogeochemical model was applied to investigate the effect of bank slope angle and ambient groundwater discharge on such processes. A denitrification zone was found below the floodplain for bank slope angle = 90°, being elongated in the horizontal direction with smaller angles. Furthermore, a lower angle of the bank slope decreased N entering the streambed and increased nitrogen removal. A decrease in ambient groundwater affected negatively both aerobic respiration and denitrification reactions. The model becomes a source of NO3 at ambient groundwater flows less than -0.9 m/d. At the end, those results demonstrated that bank slope angle and ambient groundwater discharge significantly affect solute transport and biogeochemical processes in the hyporheic zone of a compound channel.</w:t>
      </w:r>
    </w:p>
    <w:p w14:paraId="734F6391" w14:textId="38647414" w:rsidR="00A94B4E" w:rsidRPr="00E46DF1" w:rsidRDefault="002066A4" w:rsidP="00DF0F47">
      <w:pPr>
        <w:pStyle w:val="Abstract"/>
        <w:widowControl w:val="0"/>
        <w:spacing w:before="0" w:after="0" w:line="260" w:lineRule="exact"/>
        <w:ind w:left="0" w:right="24"/>
        <w:rPr>
          <w:sz w:val="20"/>
        </w:rPr>
      </w:pPr>
      <w:r w:rsidRPr="002066A4">
        <w:rPr>
          <w:b/>
          <w:bCs/>
          <w:sz w:val="20"/>
        </w:rPr>
        <w:t>Keywords:</w:t>
      </w:r>
      <w:r w:rsidRPr="002066A4">
        <w:rPr>
          <w:sz w:val="20"/>
        </w:rPr>
        <w:t xml:space="preserve"> transverse hyporheic transport; biogeochemical reactions; compound channel; aerobic respiration; denitrification; nitrification</w:t>
      </w:r>
    </w:p>
    <w:p w14:paraId="47ABB699" w14:textId="77777777" w:rsidR="00A94B4E" w:rsidRPr="00E46DF1" w:rsidRDefault="00A94B4E" w:rsidP="00DF0F47">
      <w:pPr>
        <w:widowControl w:val="0"/>
      </w:pPr>
    </w:p>
    <w:p w14:paraId="2188EE6A" w14:textId="0DA736D9" w:rsidR="00AC1D24" w:rsidRPr="00E46DF1" w:rsidRDefault="002066A4" w:rsidP="00DF0F47">
      <w:pPr>
        <w:pStyle w:val="1"/>
        <w:keepNext w:val="0"/>
        <w:keepLines w:val="0"/>
        <w:widowControl w:val="0"/>
        <w:suppressAutoHyphens w:val="0"/>
      </w:pPr>
      <w:r w:rsidRPr="002066A4">
        <w:t>INTRODUCTION</w:t>
      </w:r>
      <w:r w:rsidR="00AC1D24" w:rsidRPr="00E46DF1">
        <w:t xml:space="preserve"> </w:t>
      </w:r>
    </w:p>
    <w:p w14:paraId="6BBC6E3F" w14:textId="089D75F0" w:rsidR="00845712" w:rsidRDefault="00E80013" w:rsidP="00845712">
      <w:pPr>
        <w:widowControl w:val="0"/>
        <w:spacing w:line="260" w:lineRule="exact"/>
        <w:jc w:val="both"/>
      </w:pPr>
      <w:r>
        <w:t>Lowland rivers are usually shaped as compound channels, which consist of a main channel and one or two floodplains [1]. During the dry season, water flow is restricted to the main river, however during flooding seasons, water fills even the floodplains [2] which serve vital ecological and biological activities [3]. Despite the prevalence of compound channels in natural rivers and waterways [4], the current understanding of hyporheic transport and biogeochemical reactions in compound channels is still insufficient.</w:t>
      </w:r>
    </w:p>
    <w:p w14:paraId="16D905EA" w14:textId="62EAFB6D" w:rsidR="00E80013" w:rsidRDefault="00E80013" w:rsidP="003A506C">
      <w:pPr>
        <w:widowControl w:val="0"/>
        <w:spacing w:line="260" w:lineRule="exact"/>
        <w:ind w:firstLineChars="213" w:firstLine="426"/>
        <w:jc w:val="both"/>
      </w:pPr>
      <w:r>
        <w:t>The hyporheic zone (HZ) is the volume beneath and next to a river where surface water and ground water interact [5, 6], which is regarded as a biogeochemical hot spot in the river system [7]. This mixing improves the movement of nutrients, contaminants, energy, oxygen, nitrogen, and carbon in riverine systems [8-10]. Typically, the hyporheic zone demonstrates a number of complex physical, chemical, and biological processes [11-13] that are influenced by a number of elements, such as riverbed topography [14] and groundwater hydrological conditions (e.g., groundwater discharge). The head distribution and hyporheic flow patterns are affected by geometric features of the compound channel, such as the angle of the bank slope [15], which may result in more complex biogeochemical processes [16]. When groundwater discharge increases, the depth and volume of the HZ are reduced. The magnitude of ambient groundwater flow influences HZ extension [17].</w:t>
      </w:r>
    </w:p>
    <w:p w14:paraId="080CA9D2" w14:textId="77777777" w:rsidR="00845712" w:rsidRDefault="00845712" w:rsidP="00845712">
      <w:pPr>
        <w:widowControl w:val="0"/>
        <w:spacing w:line="260" w:lineRule="exact"/>
        <w:jc w:val="both"/>
      </w:pPr>
    </w:p>
    <w:p w14:paraId="1EC493EA" w14:textId="36DE4513" w:rsidR="00E80013" w:rsidRDefault="00E80013" w:rsidP="00845712">
      <w:pPr>
        <w:widowControl w:val="0"/>
        <w:spacing w:line="260" w:lineRule="exact"/>
        <w:jc w:val="both"/>
      </w:pPr>
      <w:r>
        <w:lastRenderedPageBreak/>
        <w:t>River systems rely on denitrification (DN) by microbes to eliminate nitrate (NO3) [18, 19]. By consuming oxygen and nitrate, the aquatic ecosystem decomposes organic carbon (DOC), which is essential to river ecology. Higher oxygen concentrations contribute to the occurrence of aerobic respiration (AR), whereas the dominance of microbial respiration hinders the denitrification reaction. The concentration of dissolved organic carbon (DOC), ammonium (NH4+) and nitrate in a streambed determine whether it is a source or sink of nitrate [20]. The shape of a compound channel considerably improves the mixing of surface and groundwater [15], resulting in a substantial biogeochemical transformation of solutes in the hyporheic zone, including denitrification [20, 21]. Due to the increased sediment-water interface area and the greater advective delivery of reactive solutes, the submerged floodplain of a compound channel has a denitrification rate that is 3 to 24 times higher than that in the dry season [22, 23]. In instance, while the denitrification potential of floodplains has been recognized for some time, the denitrification capacity of the entire compound channel during floods remains uncertain. In addition, the interaction between the main channel and the floodplain, as well as the effect of ambient groundwater flow on denitrification in the hyporheic zone of a compound channel, require additional study.</w:t>
      </w:r>
    </w:p>
    <w:p w14:paraId="74E4024C" w14:textId="68DB8E71" w:rsidR="00962598" w:rsidRDefault="00E80013" w:rsidP="003A506C">
      <w:pPr>
        <w:widowControl w:val="0"/>
        <w:spacing w:line="260" w:lineRule="exact"/>
        <w:ind w:firstLineChars="213" w:firstLine="426"/>
        <w:jc w:val="both"/>
      </w:pPr>
      <w:r>
        <w:t xml:space="preserve">A numerical analysis was conducted to enhance the current understanding of hyporheic transport and biogeochemical reactions in a compound channel. Initially, the flow in the channel was simulated using a 3D computational fluid dynamics (CFD) model, and the numerical results were compared with the experimental data collected in a laboratory physical model. The simulated channel bed pressure was combined with a groundwater model applied to a 2D domain representing a porous medium placed below the compound channel's cross-section. Finally, the 2D flow model was linked to a numerical model of solute transport in groundwater and a biogeochemical model simulating reactive processes in the groundwater domain. To determine the effects of channel geometric </w:t>
      </w:r>
      <w:r w:rsidR="001C0E5D">
        <w:t>features</w:t>
      </w:r>
      <w:r>
        <w:t>, such as bank slope angle and ambient groundwater discharge (Table 1), several flow scenarios were investigated (Figure 1). In this study, aerobic respiration and denitrification in the hyporheic zone were taken into account as biogeochemical processes. The final objective of the study was to address the following unanswered questions: (1) Which mechanisms occur in the hyporheic zone beneath a compound channel that involves aerobic respiration, nitrification, and denitrification? (2) How do differences in the bank slope angle and ambient groundwater flow influence those biogeochemical processes?</w:t>
      </w:r>
    </w:p>
    <w:p w14:paraId="470116A1" w14:textId="77777777" w:rsidR="00470C40" w:rsidRDefault="00470C40" w:rsidP="00DF0F47">
      <w:pPr>
        <w:widowControl w:val="0"/>
        <w:spacing w:line="260" w:lineRule="exact"/>
        <w:ind w:firstLine="360"/>
        <w:jc w:val="both"/>
      </w:pPr>
    </w:p>
    <w:p w14:paraId="1CFA2A30" w14:textId="2D3B49C0" w:rsidR="00962598" w:rsidRDefault="00962598" w:rsidP="00DF0F47">
      <w:pPr>
        <w:widowControl w:val="0"/>
        <w:jc w:val="center"/>
      </w:pPr>
      <w:r w:rsidRPr="001E18D0">
        <w:rPr>
          <w:noProof/>
          <w:lang w:eastAsia="zh-CN"/>
        </w:rPr>
        <w:drawing>
          <wp:inline distT="0" distB="0" distL="0" distR="0" wp14:anchorId="70D4006A" wp14:editId="1020E93B">
            <wp:extent cx="5326380" cy="2339340"/>
            <wp:effectExtent l="0" t="0" r="762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6380" cy="2339340"/>
                    </a:xfrm>
                    <a:prstGeom prst="rect">
                      <a:avLst/>
                    </a:prstGeom>
                    <a:noFill/>
                    <a:ln>
                      <a:noFill/>
                    </a:ln>
                  </pic:spPr>
                </pic:pic>
              </a:graphicData>
            </a:graphic>
          </wp:inline>
        </w:drawing>
      </w:r>
    </w:p>
    <w:p w14:paraId="5689086A" w14:textId="23380EF1" w:rsidR="00962598" w:rsidRDefault="00962598" w:rsidP="001C0E5D">
      <w:pPr>
        <w:widowControl w:val="0"/>
        <w:jc w:val="both"/>
      </w:pPr>
      <w:r w:rsidRPr="00962598">
        <w:t>Figure 1. Sketch of the compound river aerobic zone, showing the gaining condition and losing conditions in which the main channel bank slope angle is equal to: (a) 90° (b) 60°, (c) 45°, and (d) 30°.</w:t>
      </w:r>
    </w:p>
    <w:p w14:paraId="38A1F2A4" w14:textId="37E6552C" w:rsidR="00E80013" w:rsidRDefault="00E80013" w:rsidP="00DF0F47">
      <w:pPr>
        <w:widowControl w:val="0"/>
      </w:pPr>
    </w:p>
    <w:p w14:paraId="2BCDC62B" w14:textId="77777777" w:rsidR="00E80013" w:rsidRPr="001E18D0" w:rsidRDefault="00E80013" w:rsidP="00DF0F47">
      <w:pPr>
        <w:widowControl w:val="0"/>
        <w:spacing w:line="260" w:lineRule="exact"/>
      </w:pPr>
      <w:r w:rsidRPr="003A506C">
        <w:t>Table 1</w:t>
      </w:r>
      <w:r w:rsidRPr="001E18D0">
        <w:t xml:space="preserve"> Parameters of the extended numerical model for nitrogen cycling</w:t>
      </w:r>
    </w:p>
    <w:tbl>
      <w:tblPr>
        <w:tblStyle w:val="ac"/>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276"/>
        <w:gridCol w:w="3396"/>
        <w:gridCol w:w="3403"/>
      </w:tblGrid>
      <w:tr w:rsidR="00E80013" w:rsidRPr="00E80013" w14:paraId="0A80FD11" w14:textId="77777777" w:rsidTr="0021227C">
        <w:tc>
          <w:tcPr>
            <w:tcW w:w="2410" w:type="dxa"/>
            <w:tcBorders>
              <w:top w:val="single" w:sz="12" w:space="0" w:color="auto"/>
              <w:bottom w:val="single" w:sz="4" w:space="0" w:color="auto"/>
            </w:tcBorders>
          </w:tcPr>
          <w:p w14:paraId="1038229C"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Model parameters</w:t>
            </w:r>
          </w:p>
        </w:tc>
        <w:tc>
          <w:tcPr>
            <w:tcW w:w="3686" w:type="dxa"/>
            <w:tcBorders>
              <w:top w:val="single" w:sz="12" w:space="0" w:color="auto"/>
              <w:bottom w:val="single" w:sz="4" w:space="0" w:color="auto"/>
            </w:tcBorders>
          </w:tcPr>
          <w:p w14:paraId="54947CFC"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Value</w:t>
            </w:r>
          </w:p>
        </w:tc>
        <w:tc>
          <w:tcPr>
            <w:tcW w:w="3640" w:type="dxa"/>
            <w:tcBorders>
              <w:top w:val="single" w:sz="12" w:space="0" w:color="auto"/>
              <w:bottom w:val="single" w:sz="4" w:space="0" w:color="auto"/>
            </w:tcBorders>
          </w:tcPr>
          <w:p w14:paraId="5F8B9FDE"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Description</w:t>
            </w:r>
          </w:p>
        </w:tc>
      </w:tr>
      <w:tr w:rsidR="00E80013" w:rsidRPr="00E80013" w14:paraId="3B9B488A" w14:textId="77777777" w:rsidTr="0021227C">
        <w:tc>
          <w:tcPr>
            <w:tcW w:w="2410" w:type="dxa"/>
            <w:tcBorders>
              <w:top w:val="single" w:sz="4" w:space="0" w:color="auto"/>
              <w:bottom w:val="nil"/>
            </w:tcBorders>
          </w:tcPr>
          <w:p w14:paraId="11791A7E"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i/>
                <w:iCs/>
              </w:rPr>
              <w:t>S</w:t>
            </w:r>
            <w:r w:rsidRPr="00E80013">
              <w:rPr>
                <w:rFonts w:ascii="Times New Roman" w:hAnsi="Times New Roman" w:cs="Times New Roman"/>
              </w:rPr>
              <w:t xml:space="preserve"> [°]</w:t>
            </w:r>
          </w:p>
        </w:tc>
        <w:tc>
          <w:tcPr>
            <w:tcW w:w="3686" w:type="dxa"/>
            <w:tcBorders>
              <w:top w:val="single" w:sz="4" w:space="0" w:color="auto"/>
              <w:bottom w:val="nil"/>
            </w:tcBorders>
          </w:tcPr>
          <w:p w14:paraId="6DFA18C8"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90, 60, 45, 30 (4 values)</w:t>
            </w:r>
          </w:p>
        </w:tc>
        <w:tc>
          <w:tcPr>
            <w:tcW w:w="3640" w:type="dxa"/>
            <w:tcBorders>
              <w:top w:val="single" w:sz="4" w:space="0" w:color="auto"/>
              <w:bottom w:val="nil"/>
            </w:tcBorders>
          </w:tcPr>
          <w:p w14:paraId="2E9595A9"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Bank slope angle</w:t>
            </w:r>
          </w:p>
        </w:tc>
      </w:tr>
      <w:tr w:rsidR="00E80013" w:rsidRPr="00E80013" w14:paraId="545961A3" w14:textId="77777777" w:rsidTr="0021227C">
        <w:tc>
          <w:tcPr>
            <w:tcW w:w="2410" w:type="dxa"/>
            <w:tcBorders>
              <w:top w:val="nil"/>
            </w:tcBorders>
          </w:tcPr>
          <w:p w14:paraId="4F3AAF4C" w14:textId="77777777" w:rsidR="00E80013" w:rsidRPr="00E80013" w:rsidRDefault="00E80013" w:rsidP="00DF0F47">
            <w:pPr>
              <w:widowControl w:val="0"/>
              <w:spacing w:line="260" w:lineRule="exact"/>
              <w:rPr>
                <w:rFonts w:ascii="Times New Roman" w:hAnsi="Times New Roman" w:cs="Times New Roman"/>
                <w:i/>
                <w:iCs/>
              </w:rPr>
            </w:pPr>
            <w:proofErr w:type="spellStart"/>
            <w:r w:rsidRPr="00E80013">
              <w:rPr>
                <w:rFonts w:ascii="Times New Roman" w:hAnsi="Times New Roman" w:cs="Times New Roman"/>
                <w:i/>
                <w:iCs/>
              </w:rPr>
              <w:t>q</w:t>
            </w:r>
            <w:r w:rsidRPr="00E80013">
              <w:rPr>
                <w:rFonts w:ascii="Times New Roman" w:hAnsi="Times New Roman" w:cs="Times New Roman"/>
                <w:vertAlign w:val="subscript"/>
              </w:rPr>
              <w:t>bot</w:t>
            </w:r>
            <w:proofErr w:type="spellEnd"/>
            <w:r w:rsidRPr="00E80013">
              <w:rPr>
                <w:rFonts w:ascii="Times New Roman" w:hAnsi="Times New Roman" w:cs="Times New Roman"/>
              </w:rPr>
              <w:t xml:space="preserve"> [m/d]</w:t>
            </w:r>
          </w:p>
        </w:tc>
        <w:tc>
          <w:tcPr>
            <w:tcW w:w="3686" w:type="dxa"/>
            <w:tcBorders>
              <w:top w:val="nil"/>
            </w:tcBorders>
          </w:tcPr>
          <w:p w14:paraId="1963D64C"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-1.0~ +1.0 (41 values, interval 0.05)</w:t>
            </w:r>
          </w:p>
        </w:tc>
        <w:tc>
          <w:tcPr>
            <w:tcW w:w="3640" w:type="dxa"/>
            <w:tcBorders>
              <w:top w:val="nil"/>
            </w:tcBorders>
          </w:tcPr>
          <w:p w14:paraId="2620D35D"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Ambient groundwater discharge</w:t>
            </w:r>
          </w:p>
        </w:tc>
      </w:tr>
      <w:tr w:rsidR="00E80013" w:rsidRPr="00E80013" w14:paraId="30015F86" w14:textId="77777777" w:rsidTr="0021227C">
        <w:tc>
          <w:tcPr>
            <w:tcW w:w="2410" w:type="dxa"/>
          </w:tcPr>
          <w:p w14:paraId="040395AA"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i/>
                <w:iCs/>
              </w:rPr>
              <w:t>K</w:t>
            </w:r>
            <w:r w:rsidRPr="00E80013">
              <w:rPr>
                <w:rFonts w:ascii="Times New Roman" w:hAnsi="Times New Roman" w:cs="Times New Roman"/>
              </w:rPr>
              <w:t xml:space="preserve"> [m/s]</w:t>
            </w:r>
          </w:p>
        </w:tc>
        <w:tc>
          <w:tcPr>
            <w:tcW w:w="3686" w:type="dxa"/>
          </w:tcPr>
          <w:p w14:paraId="1891605E"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0.0005</w:t>
            </w:r>
          </w:p>
        </w:tc>
        <w:tc>
          <w:tcPr>
            <w:tcW w:w="3640" w:type="dxa"/>
          </w:tcPr>
          <w:p w14:paraId="1C2AC62D"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Hydraulic conductivity</w:t>
            </w:r>
          </w:p>
        </w:tc>
      </w:tr>
      <w:tr w:rsidR="00E80013" w:rsidRPr="00E80013" w14:paraId="705E117B" w14:textId="77777777" w:rsidTr="0021227C">
        <w:tc>
          <w:tcPr>
            <w:tcW w:w="2410" w:type="dxa"/>
          </w:tcPr>
          <w:p w14:paraId="3FBA73D8"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i/>
                <w:iCs/>
              </w:rPr>
              <w:t>θ</w:t>
            </w:r>
            <w:r w:rsidRPr="00E80013">
              <w:rPr>
                <w:rFonts w:ascii="Times New Roman" w:hAnsi="Times New Roman" w:cs="Times New Roman"/>
              </w:rPr>
              <w:t xml:space="preserve"> (−)</w:t>
            </w:r>
          </w:p>
        </w:tc>
        <w:tc>
          <w:tcPr>
            <w:tcW w:w="3686" w:type="dxa"/>
          </w:tcPr>
          <w:p w14:paraId="6EFAE8FA"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0.3</w:t>
            </w:r>
          </w:p>
        </w:tc>
        <w:tc>
          <w:tcPr>
            <w:tcW w:w="3640" w:type="dxa"/>
          </w:tcPr>
          <w:p w14:paraId="2AC8B1E9"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Porosity</w:t>
            </w:r>
          </w:p>
        </w:tc>
      </w:tr>
      <w:tr w:rsidR="00E80013" w:rsidRPr="00E80013" w14:paraId="20364CDE" w14:textId="77777777" w:rsidTr="0021227C">
        <w:tc>
          <w:tcPr>
            <w:tcW w:w="2410" w:type="dxa"/>
          </w:tcPr>
          <w:p w14:paraId="63D193B8"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i/>
                <w:iCs/>
              </w:rPr>
              <w:t>C</w:t>
            </w:r>
            <w:r w:rsidRPr="00E80013">
              <w:rPr>
                <w:rFonts w:ascii="Times New Roman" w:hAnsi="Times New Roman" w:cs="Times New Roman"/>
                <w:vertAlign w:val="subscript"/>
              </w:rPr>
              <w:t>DOC,0</w:t>
            </w:r>
            <w:r w:rsidRPr="00E80013">
              <w:rPr>
                <w:rFonts w:ascii="Times New Roman" w:hAnsi="Times New Roman" w:cs="Times New Roman"/>
              </w:rPr>
              <w:t xml:space="preserve"> (mg/L)</w:t>
            </w:r>
          </w:p>
        </w:tc>
        <w:tc>
          <w:tcPr>
            <w:tcW w:w="3686" w:type="dxa"/>
          </w:tcPr>
          <w:p w14:paraId="7A1CD361"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60</w:t>
            </w:r>
          </w:p>
        </w:tc>
        <w:tc>
          <w:tcPr>
            <w:tcW w:w="3640" w:type="dxa"/>
          </w:tcPr>
          <w:p w14:paraId="3EE632C4"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In-stream carbon concentration</w:t>
            </w:r>
          </w:p>
        </w:tc>
      </w:tr>
      <w:tr w:rsidR="00E80013" w:rsidRPr="00E80013" w14:paraId="137B9275" w14:textId="77777777" w:rsidTr="0021227C">
        <w:tc>
          <w:tcPr>
            <w:tcW w:w="2410" w:type="dxa"/>
          </w:tcPr>
          <w:p w14:paraId="5E2F94F2"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i/>
                <w:iCs/>
              </w:rPr>
              <w:t>C</w:t>
            </w:r>
            <w:r w:rsidRPr="00E80013">
              <w:rPr>
                <w:rFonts w:ascii="Times New Roman" w:hAnsi="Times New Roman" w:cs="Times New Roman"/>
                <w:vertAlign w:val="subscript"/>
              </w:rPr>
              <w:t>O2,0</w:t>
            </w:r>
            <w:r w:rsidRPr="00E80013">
              <w:rPr>
                <w:rFonts w:ascii="Times New Roman" w:hAnsi="Times New Roman" w:cs="Times New Roman"/>
              </w:rPr>
              <w:t xml:space="preserve"> (mg/L)</w:t>
            </w:r>
          </w:p>
        </w:tc>
        <w:tc>
          <w:tcPr>
            <w:tcW w:w="3686" w:type="dxa"/>
          </w:tcPr>
          <w:p w14:paraId="6271FFDF"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10</w:t>
            </w:r>
          </w:p>
        </w:tc>
        <w:tc>
          <w:tcPr>
            <w:tcW w:w="3640" w:type="dxa"/>
          </w:tcPr>
          <w:p w14:paraId="4A7206CC"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In-stream oxygen concentration</w:t>
            </w:r>
          </w:p>
        </w:tc>
      </w:tr>
      <w:tr w:rsidR="00E80013" w:rsidRPr="00E80013" w14:paraId="2C39A230" w14:textId="77777777" w:rsidTr="0021227C">
        <w:tc>
          <w:tcPr>
            <w:tcW w:w="2410" w:type="dxa"/>
          </w:tcPr>
          <w:p w14:paraId="06AE5DE3"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i/>
                <w:iCs/>
              </w:rPr>
              <w:t>C</w:t>
            </w:r>
            <w:r w:rsidRPr="00E80013">
              <w:rPr>
                <w:rFonts w:ascii="Times New Roman" w:hAnsi="Times New Roman" w:cs="Times New Roman"/>
                <w:vertAlign w:val="subscript"/>
              </w:rPr>
              <w:t>NO3,0</w:t>
            </w:r>
            <w:r w:rsidRPr="00E80013">
              <w:rPr>
                <w:rFonts w:ascii="Times New Roman" w:hAnsi="Times New Roman" w:cs="Times New Roman"/>
              </w:rPr>
              <w:t xml:space="preserve"> (mg/L)</w:t>
            </w:r>
          </w:p>
        </w:tc>
        <w:tc>
          <w:tcPr>
            <w:tcW w:w="3686" w:type="dxa"/>
          </w:tcPr>
          <w:p w14:paraId="6A547699"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1</w:t>
            </w:r>
          </w:p>
        </w:tc>
        <w:tc>
          <w:tcPr>
            <w:tcW w:w="3640" w:type="dxa"/>
          </w:tcPr>
          <w:p w14:paraId="4556C112"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In-stream nitrate concentration</w:t>
            </w:r>
          </w:p>
        </w:tc>
      </w:tr>
      <w:tr w:rsidR="00E80013" w:rsidRPr="00E80013" w14:paraId="66DCDA77" w14:textId="77777777" w:rsidTr="0021227C">
        <w:tc>
          <w:tcPr>
            <w:tcW w:w="2410" w:type="dxa"/>
          </w:tcPr>
          <w:p w14:paraId="3A0FCC53" w14:textId="77777777" w:rsidR="00E80013" w:rsidRPr="00E80013" w:rsidRDefault="00E80013" w:rsidP="00DF0F47">
            <w:pPr>
              <w:widowControl w:val="0"/>
              <w:spacing w:line="260" w:lineRule="exact"/>
              <w:rPr>
                <w:rFonts w:ascii="Times New Roman" w:hAnsi="Times New Roman" w:cs="Times New Roman"/>
                <w:i/>
                <w:iCs/>
              </w:rPr>
            </w:pPr>
            <w:r w:rsidRPr="00E80013">
              <w:rPr>
                <w:rFonts w:ascii="Times New Roman" w:hAnsi="Times New Roman" w:cs="Times New Roman"/>
                <w:i/>
                <w:iCs/>
              </w:rPr>
              <w:t>C</w:t>
            </w:r>
            <w:r w:rsidRPr="00E80013">
              <w:rPr>
                <w:rFonts w:ascii="Times New Roman" w:hAnsi="Times New Roman" w:cs="Times New Roman"/>
                <w:vertAlign w:val="subscript"/>
              </w:rPr>
              <w:t>NH4,0</w:t>
            </w:r>
            <w:r w:rsidRPr="00E80013">
              <w:rPr>
                <w:rFonts w:ascii="Times New Roman" w:hAnsi="Times New Roman" w:cs="Times New Roman"/>
              </w:rPr>
              <w:t xml:space="preserve"> (mg/L)</w:t>
            </w:r>
          </w:p>
        </w:tc>
        <w:tc>
          <w:tcPr>
            <w:tcW w:w="3686" w:type="dxa"/>
          </w:tcPr>
          <w:p w14:paraId="0B1E7189"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0.05</w:t>
            </w:r>
          </w:p>
        </w:tc>
        <w:tc>
          <w:tcPr>
            <w:tcW w:w="3640" w:type="dxa"/>
          </w:tcPr>
          <w:p w14:paraId="29F63F08"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In-stream ammonium concentration</w:t>
            </w:r>
          </w:p>
        </w:tc>
      </w:tr>
      <w:tr w:rsidR="00E80013" w:rsidRPr="00E80013" w14:paraId="641AF5D6" w14:textId="77777777" w:rsidTr="0021227C">
        <w:tc>
          <w:tcPr>
            <w:tcW w:w="2410" w:type="dxa"/>
          </w:tcPr>
          <w:p w14:paraId="41B5E8CA" w14:textId="77777777" w:rsidR="00E80013" w:rsidRPr="00E80013" w:rsidRDefault="00E80013" w:rsidP="00DF0F47">
            <w:pPr>
              <w:widowControl w:val="0"/>
              <w:spacing w:line="260" w:lineRule="exact"/>
              <w:rPr>
                <w:rFonts w:ascii="Times New Roman" w:hAnsi="Times New Roman" w:cs="Times New Roman"/>
                <w:i/>
                <w:iCs/>
              </w:rPr>
            </w:pPr>
            <w:proofErr w:type="spellStart"/>
            <w:r w:rsidRPr="00E80013">
              <w:rPr>
                <w:rFonts w:ascii="Times New Roman" w:hAnsi="Times New Roman" w:cs="Times New Roman"/>
                <w:i/>
                <w:iCs/>
              </w:rPr>
              <w:lastRenderedPageBreak/>
              <w:t>k</w:t>
            </w:r>
            <w:r w:rsidRPr="00E80013">
              <w:rPr>
                <w:rFonts w:ascii="Times New Roman" w:hAnsi="Times New Roman" w:cs="Times New Roman"/>
                <w:i/>
                <w:iCs/>
                <w:vertAlign w:val="subscript"/>
              </w:rPr>
              <w:t>DOC</w:t>
            </w:r>
            <w:proofErr w:type="spellEnd"/>
            <w:r w:rsidRPr="00E80013">
              <w:rPr>
                <w:rFonts w:ascii="Times New Roman" w:hAnsi="Times New Roman" w:cs="Times New Roman"/>
                <w:i/>
                <w:iCs/>
              </w:rPr>
              <w:t xml:space="preserve"> </w:t>
            </w:r>
            <w:r w:rsidRPr="00E80013">
              <w:rPr>
                <w:rFonts w:ascii="Times New Roman" w:hAnsi="Times New Roman" w:cs="Times New Roman"/>
              </w:rPr>
              <w:t>(s</w:t>
            </w:r>
            <w:r w:rsidRPr="00E80013">
              <w:rPr>
                <w:rFonts w:ascii="Times New Roman" w:hAnsi="Times New Roman" w:cs="Times New Roman"/>
                <w:vertAlign w:val="superscript"/>
              </w:rPr>
              <w:t>−1</w:t>
            </w:r>
            <w:r w:rsidRPr="00E80013">
              <w:rPr>
                <w:rFonts w:ascii="Times New Roman" w:hAnsi="Times New Roman" w:cs="Times New Roman"/>
              </w:rPr>
              <w:t>)</w:t>
            </w:r>
          </w:p>
        </w:tc>
        <w:tc>
          <w:tcPr>
            <w:tcW w:w="3686" w:type="dxa"/>
          </w:tcPr>
          <w:p w14:paraId="7AB053E3"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5 ×10</w:t>
            </w:r>
            <w:r w:rsidRPr="00E80013">
              <w:rPr>
                <w:rFonts w:ascii="Times New Roman" w:hAnsi="Times New Roman" w:cs="Times New Roman"/>
                <w:vertAlign w:val="superscript"/>
              </w:rPr>
              <w:t>−6</w:t>
            </w:r>
          </w:p>
        </w:tc>
        <w:tc>
          <w:tcPr>
            <w:tcW w:w="3640" w:type="dxa"/>
          </w:tcPr>
          <w:p w14:paraId="598F28BE"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DOC decay constant</w:t>
            </w:r>
          </w:p>
        </w:tc>
      </w:tr>
      <w:tr w:rsidR="00E80013" w:rsidRPr="00E80013" w14:paraId="7CA1A4E7" w14:textId="77777777" w:rsidTr="0021227C">
        <w:tc>
          <w:tcPr>
            <w:tcW w:w="2410" w:type="dxa"/>
          </w:tcPr>
          <w:p w14:paraId="7955F366" w14:textId="77777777" w:rsidR="00E80013" w:rsidRPr="00E80013" w:rsidRDefault="00E80013" w:rsidP="00DF0F47">
            <w:pPr>
              <w:widowControl w:val="0"/>
              <w:spacing w:line="260" w:lineRule="exact"/>
              <w:rPr>
                <w:rFonts w:ascii="Times New Roman" w:hAnsi="Times New Roman" w:cs="Times New Roman"/>
                <w:i/>
                <w:iCs/>
              </w:rPr>
            </w:pPr>
            <w:proofErr w:type="spellStart"/>
            <w:r w:rsidRPr="00E80013">
              <w:rPr>
                <w:rFonts w:ascii="Times New Roman" w:hAnsi="Times New Roman" w:cs="Times New Roman"/>
                <w:i/>
                <w:iCs/>
              </w:rPr>
              <w:t>k</w:t>
            </w:r>
            <w:r w:rsidRPr="00E80013">
              <w:rPr>
                <w:rFonts w:ascii="Times New Roman" w:hAnsi="Times New Roman" w:cs="Times New Roman"/>
                <w:i/>
                <w:iCs/>
                <w:vertAlign w:val="subscript"/>
              </w:rPr>
              <w:t>n</w:t>
            </w:r>
            <w:proofErr w:type="spellEnd"/>
            <w:r w:rsidRPr="00E80013">
              <w:rPr>
                <w:rFonts w:ascii="Times New Roman" w:hAnsi="Times New Roman" w:cs="Times New Roman"/>
                <w:i/>
                <w:iCs/>
              </w:rPr>
              <w:t xml:space="preserve"> </w:t>
            </w:r>
            <w:r w:rsidRPr="00E80013">
              <w:rPr>
                <w:rFonts w:ascii="Times New Roman" w:hAnsi="Times New Roman" w:cs="Times New Roman"/>
              </w:rPr>
              <w:t>(L mg</w:t>
            </w:r>
            <w:r w:rsidRPr="00E80013">
              <w:rPr>
                <w:rFonts w:ascii="Times New Roman" w:hAnsi="Times New Roman" w:cs="Times New Roman"/>
                <w:vertAlign w:val="superscript"/>
              </w:rPr>
              <w:t>−1</w:t>
            </w:r>
            <w:r w:rsidRPr="00E80013">
              <w:rPr>
                <w:rFonts w:ascii="Times New Roman" w:hAnsi="Times New Roman" w:cs="Times New Roman"/>
              </w:rPr>
              <w:t xml:space="preserve"> s</w:t>
            </w:r>
            <w:r w:rsidRPr="00E80013">
              <w:rPr>
                <w:rFonts w:ascii="Times New Roman" w:hAnsi="Times New Roman" w:cs="Times New Roman"/>
                <w:vertAlign w:val="superscript"/>
              </w:rPr>
              <w:t>−1</w:t>
            </w:r>
            <w:r w:rsidRPr="00E80013">
              <w:rPr>
                <w:rFonts w:ascii="Times New Roman" w:hAnsi="Times New Roman" w:cs="Times New Roman"/>
              </w:rPr>
              <w:t>)</w:t>
            </w:r>
          </w:p>
        </w:tc>
        <w:tc>
          <w:tcPr>
            <w:tcW w:w="3686" w:type="dxa"/>
          </w:tcPr>
          <w:p w14:paraId="71677608"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5 ×10</w:t>
            </w:r>
            <w:r w:rsidRPr="00E80013">
              <w:rPr>
                <w:rFonts w:ascii="Times New Roman" w:hAnsi="Times New Roman" w:cs="Times New Roman"/>
                <w:vertAlign w:val="superscript"/>
              </w:rPr>
              <w:t>−6</w:t>
            </w:r>
          </w:p>
        </w:tc>
        <w:tc>
          <w:tcPr>
            <w:tcW w:w="3640" w:type="dxa"/>
          </w:tcPr>
          <w:p w14:paraId="2927F2FD"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Nitrification rate</w:t>
            </w:r>
          </w:p>
        </w:tc>
      </w:tr>
      <w:tr w:rsidR="00E80013" w:rsidRPr="00E80013" w14:paraId="771822E7" w14:textId="77777777" w:rsidTr="0021227C">
        <w:tc>
          <w:tcPr>
            <w:tcW w:w="2410" w:type="dxa"/>
          </w:tcPr>
          <w:p w14:paraId="60403FAE" w14:textId="77777777" w:rsidR="00E80013" w:rsidRPr="00E80013" w:rsidRDefault="00E80013" w:rsidP="00DF0F47">
            <w:pPr>
              <w:widowControl w:val="0"/>
              <w:spacing w:line="260" w:lineRule="exact"/>
              <w:rPr>
                <w:rFonts w:ascii="Times New Roman" w:hAnsi="Times New Roman" w:cs="Times New Roman"/>
                <w:i/>
                <w:iCs/>
              </w:rPr>
            </w:pPr>
            <w:r w:rsidRPr="00E80013">
              <w:rPr>
                <w:rFonts w:ascii="Times New Roman" w:hAnsi="Times New Roman" w:cs="Times New Roman"/>
                <w:i/>
                <w:iCs/>
              </w:rPr>
              <w:t>C</w:t>
            </w:r>
            <w:r w:rsidRPr="00E80013">
              <w:rPr>
                <w:rFonts w:ascii="Times New Roman" w:hAnsi="Times New Roman" w:cs="Times New Roman"/>
                <w:i/>
                <w:iCs/>
                <w:vertAlign w:val="subscript"/>
              </w:rPr>
              <w:t>NO3,lim</w:t>
            </w:r>
            <w:r w:rsidRPr="00E80013">
              <w:rPr>
                <w:rFonts w:ascii="Times New Roman" w:hAnsi="Times New Roman" w:cs="Times New Roman"/>
                <w:i/>
                <w:iCs/>
              </w:rPr>
              <w:t xml:space="preserve"> </w:t>
            </w:r>
            <w:r w:rsidRPr="00E80013">
              <w:rPr>
                <w:rFonts w:ascii="Times New Roman" w:hAnsi="Times New Roman" w:cs="Times New Roman"/>
              </w:rPr>
              <w:t>(mg/L)</w:t>
            </w:r>
          </w:p>
        </w:tc>
        <w:tc>
          <w:tcPr>
            <w:tcW w:w="3686" w:type="dxa"/>
          </w:tcPr>
          <w:p w14:paraId="1BD7E987"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0.5</w:t>
            </w:r>
          </w:p>
        </w:tc>
        <w:tc>
          <w:tcPr>
            <w:tcW w:w="3640" w:type="dxa"/>
          </w:tcPr>
          <w:p w14:paraId="4526A86C"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Limit nitrate concentration</w:t>
            </w:r>
          </w:p>
        </w:tc>
      </w:tr>
      <w:tr w:rsidR="00E80013" w:rsidRPr="00E80013" w14:paraId="2743FDE7" w14:textId="77777777" w:rsidTr="0021227C">
        <w:tc>
          <w:tcPr>
            <w:tcW w:w="2410" w:type="dxa"/>
          </w:tcPr>
          <w:p w14:paraId="73FFF8CB" w14:textId="77777777" w:rsidR="00E80013" w:rsidRPr="00E80013" w:rsidRDefault="00E80013" w:rsidP="00DF0F47">
            <w:pPr>
              <w:widowControl w:val="0"/>
              <w:spacing w:line="260" w:lineRule="exact"/>
              <w:rPr>
                <w:rFonts w:ascii="Times New Roman" w:hAnsi="Times New Roman" w:cs="Times New Roman"/>
                <w:i/>
                <w:iCs/>
              </w:rPr>
            </w:pPr>
            <w:r w:rsidRPr="00E80013">
              <w:rPr>
                <w:rFonts w:ascii="Times New Roman" w:hAnsi="Times New Roman" w:cs="Times New Roman"/>
                <w:i/>
                <w:iCs/>
              </w:rPr>
              <w:t>C</w:t>
            </w:r>
            <w:r w:rsidRPr="00E80013">
              <w:rPr>
                <w:rFonts w:ascii="Times New Roman" w:hAnsi="Times New Roman" w:cs="Times New Roman"/>
                <w:i/>
                <w:iCs/>
                <w:vertAlign w:val="subscript"/>
              </w:rPr>
              <w:t>O2,lim</w:t>
            </w:r>
            <w:r w:rsidRPr="00E80013">
              <w:rPr>
                <w:rFonts w:ascii="Times New Roman" w:hAnsi="Times New Roman" w:cs="Times New Roman"/>
                <w:i/>
                <w:iCs/>
              </w:rPr>
              <w:t xml:space="preserve"> </w:t>
            </w:r>
            <w:r w:rsidRPr="00E80013">
              <w:rPr>
                <w:rFonts w:ascii="Times New Roman" w:hAnsi="Times New Roman" w:cs="Times New Roman"/>
              </w:rPr>
              <w:t>(mg/L)</w:t>
            </w:r>
          </w:p>
        </w:tc>
        <w:tc>
          <w:tcPr>
            <w:tcW w:w="3686" w:type="dxa"/>
          </w:tcPr>
          <w:p w14:paraId="3DF86DC5"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1</w:t>
            </w:r>
          </w:p>
        </w:tc>
        <w:tc>
          <w:tcPr>
            <w:tcW w:w="3640" w:type="dxa"/>
          </w:tcPr>
          <w:p w14:paraId="7E97F94D" w14:textId="77777777" w:rsidR="00E80013" w:rsidRPr="00E80013" w:rsidRDefault="00E80013" w:rsidP="00DF0F47">
            <w:pPr>
              <w:widowControl w:val="0"/>
              <w:spacing w:line="260" w:lineRule="exact"/>
              <w:rPr>
                <w:rFonts w:ascii="Times New Roman" w:hAnsi="Times New Roman" w:cs="Times New Roman"/>
              </w:rPr>
            </w:pPr>
            <w:r w:rsidRPr="00E80013">
              <w:rPr>
                <w:rFonts w:ascii="Times New Roman" w:hAnsi="Times New Roman" w:cs="Times New Roman"/>
              </w:rPr>
              <w:t>Limit oxygen concentration</w:t>
            </w:r>
          </w:p>
        </w:tc>
      </w:tr>
    </w:tbl>
    <w:p w14:paraId="1A5E396D" w14:textId="77777777" w:rsidR="00E80013" w:rsidRPr="00E46DF1" w:rsidRDefault="00E80013" w:rsidP="00DF0F47">
      <w:pPr>
        <w:widowControl w:val="0"/>
      </w:pPr>
    </w:p>
    <w:p w14:paraId="6A558544" w14:textId="77777777" w:rsidR="00E80013" w:rsidRPr="00E80013" w:rsidRDefault="00E80013" w:rsidP="00DF0F47">
      <w:pPr>
        <w:pStyle w:val="1"/>
        <w:keepNext w:val="0"/>
        <w:keepLines w:val="0"/>
        <w:widowControl w:val="0"/>
        <w:suppressAutoHyphens w:val="0"/>
      </w:pPr>
      <w:r w:rsidRPr="00E80013">
        <w:t>MATERIALS AND METHODS</w:t>
      </w:r>
    </w:p>
    <w:p w14:paraId="3CEB06C3" w14:textId="77777777" w:rsidR="003C3A0C" w:rsidRPr="00E46DF1" w:rsidRDefault="003C3A0C" w:rsidP="00DF0F47">
      <w:pPr>
        <w:pStyle w:val="2"/>
        <w:keepNext w:val="0"/>
        <w:widowControl w:val="0"/>
      </w:pPr>
      <w:r w:rsidRPr="00E46DF1">
        <w:t>Create the paper using MS-Word</w:t>
      </w:r>
    </w:p>
    <w:p w14:paraId="06DE7925" w14:textId="5F670C5E" w:rsidR="00845712" w:rsidRDefault="001D6D74" w:rsidP="00845712">
      <w:pPr>
        <w:widowControl w:val="0"/>
        <w:spacing w:line="260" w:lineRule="exact"/>
        <w:jc w:val="both"/>
      </w:pPr>
      <w:r w:rsidRPr="001E18D0">
        <w:t xml:space="preserve">The </w:t>
      </w:r>
      <w:r>
        <w:t>sketch of</w:t>
      </w:r>
      <w:r w:rsidRPr="001E18D0">
        <w:t xml:space="preserve"> the flow process</w:t>
      </w:r>
      <w:r>
        <w:t>es</w:t>
      </w:r>
      <w:r w:rsidRPr="001E18D0">
        <w:t xml:space="preserve"> </w:t>
      </w:r>
      <w:r>
        <w:t xml:space="preserve">(Figure 2) </w:t>
      </w:r>
      <w:r w:rsidRPr="001E18D0">
        <w:t xml:space="preserve">can be divided into two parts. First, the 3D </w:t>
      </w:r>
      <w:r>
        <w:t>hydrodynamics</w:t>
      </w:r>
      <w:r w:rsidRPr="001E18D0">
        <w:t xml:space="preserve"> model </w:t>
      </w:r>
      <w:r>
        <w:t xml:space="preserve">was solved with ANSYS Fluent </w:t>
      </w:r>
      <w:r w:rsidRPr="001E18D0">
        <w:t xml:space="preserve">using Reynolds-averaged Navier-Stokes (RANS) equations with Reynolds Stress Model (RSM) turbulence closure scheme. This approach has been commonly used to simulate hyporheic exchange in two and three dimensions, and the RSM </w:t>
      </w:r>
      <w:r>
        <w:t>model was</w:t>
      </w:r>
      <w:r w:rsidRPr="001E18D0">
        <w:t xml:space="preserve"> used to </w:t>
      </w:r>
      <w:r>
        <w:t xml:space="preserve">accurately </w:t>
      </w:r>
      <w:r w:rsidRPr="001E18D0">
        <w:t>simulate compound channel hydrodynamics</w:t>
      </w:r>
      <w:r w:rsidRPr="009F3DAC">
        <w:t xml:space="preserve"> </w:t>
      </w:r>
      <w:r w:rsidRPr="009F3DAC">
        <w:fldChar w:fldCharType="begin">
          <w:fldData xml:space="preserve">PEVuZE5vdGU+PENpdGU+PEF1dGhvcj5YaWFvPC9BdXRob3I+PFllYXI+MjAxNzwvWWVhcj48UmVj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</w:fldData>
        </w:fldChar>
      </w:r>
      <w:r>
        <w:instrText xml:space="preserve"> ADDIN EN.CITE </w:instrText>
      </w:r>
      <w:r>
        <w:fldChar w:fldCharType="begin">
          <w:fldData xml:space="preserve">PEVuZE5vdGU+PENpdGU+PEF1dGhvcj5YaWFvPC9BdXRob3I+PFllYXI+MjAxNzwvWWVhcj48UmVj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</w:fldData>
        </w:fldChar>
      </w:r>
      <w:r>
        <w:instrText xml:space="preserve"> ADDIN EN.CITE.DATA </w:instrText>
      </w:r>
      <w:r>
        <w:fldChar w:fldCharType="end"/>
      </w:r>
      <w:r w:rsidRPr="009F3DAC">
        <w:fldChar w:fldCharType="separate"/>
      </w:r>
      <w:r>
        <w:rPr>
          <w:noProof/>
        </w:rPr>
        <w:t>[15, 24]</w:t>
      </w:r>
      <w:r w:rsidRPr="009F3DAC">
        <w:fldChar w:fldCharType="end"/>
      </w:r>
      <w:r w:rsidRPr="001E18D0">
        <w:t>. The resulting pressure distribution along the bed was then used as a boundary condition at the sediment-water interface (SWI) for pore water flow within the hyporheic region. Second, the pore water flow and solute convective dispersion reaction processes in the riverbed are simulated. Therefore, the nitrogen cycle model can describe the biogeochemical processes in the compound river.</w:t>
      </w:r>
    </w:p>
    <w:p w14:paraId="13C6D05C" w14:textId="0F526624" w:rsidR="00845712" w:rsidRDefault="001D6D74" w:rsidP="003A506C">
      <w:pPr>
        <w:widowControl w:val="0"/>
        <w:spacing w:line="260" w:lineRule="exact"/>
        <w:ind w:firstLineChars="213" w:firstLine="426"/>
        <w:jc w:val="both"/>
      </w:pPr>
      <w:r w:rsidRPr="001E18D0">
        <w:t xml:space="preserve">The </w:t>
      </w:r>
      <w:r>
        <w:t>channel</w:t>
      </w:r>
      <w:r w:rsidRPr="001E18D0">
        <w:t xml:space="preserve"> flow model domain was 24 m long and 1.2 m wide (Figure 2a). The floodplain was 0.2 m high and 0.6 m wide. The discharge was set at 50 L/s; the water depth in the main channel was 0.4 m. The inlet boundary condition was established as an inflow mass with normal direction, and at the outlet an outflow boundary condition was assigned. A no-slip wall condition was applied to the riverbeds and banks.</w:t>
      </w:r>
    </w:p>
    <w:p w14:paraId="54CAEE29" w14:textId="1FDA4647" w:rsidR="001D6D74" w:rsidRPr="001E18D0" w:rsidRDefault="001D6D74" w:rsidP="003A506C">
      <w:pPr>
        <w:widowControl w:val="0"/>
        <w:spacing w:line="260" w:lineRule="exact"/>
        <w:ind w:firstLineChars="213" w:firstLine="426"/>
        <w:jc w:val="both"/>
      </w:pPr>
      <w:r w:rsidRPr="001E18D0">
        <w:t xml:space="preserve">The subsurface flow model domain was 1.0 m deep and 1.2 m wide. The distribution of the pressure at the channel bed calculated by the RANS model was applied as the upper boundary condition for the groundwater model. Both the left and right vertical side were treated in the same way as zero flow boundaries. At the groundwater bottom, a Darcy velocity with an ambient groundwater magnitude </w:t>
      </w:r>
      <w:proofErr w:type="spellStart"/>
      <w:r w:rsidRPr="001E18D0">
        <w:rPr>
          <w:i/>
        </w:rPr>
        <w:t>q</w:t>
      </w:r>
      <w:r w:rsidRPr="001E18D0">
        <w:rPr>
          <w:vertAlign w:val="subscript"/>
        </w:rPr>
        <w:t>bot</w:t>
      </w:r>
      <w:proofErr w:type="spellEnd"/>
      <w:r w:rsidRPr="001E18D0">
        <w:t xml:space="preserve"> was assigned. The ambient groundwater discharge is specified as -1 m/d</w:t>
      </w:r>
      <w:r>
        <w:t xml:space="preserve"> ~ +</w:t>
      </w:r>
      <w:r w:rsidRPr="001E18D0">
        <w:t>1 m/d to represent the losing condition, neutral condition, and gaining condition, respectively.</w:t>
      </w:r>
    </w:p>
    <w:p w14:paraId="7F671BB0" w14:textId="626906FE" w:rsidR="001D6D74" w:rsidRDefault="001D6D74" w:rsidP="00DF0F47">
      <w:pPr>
        <w:pStyle w:val="2"/>
        <w:keepNext w:val="0"/>
        <w:widowControl w:val="0"/>
      </w:pPr>
      <w:r w:rsidRPr="001D6D74">
        <w:t>Numerical Modeling</w:t>
      </w:r>
    </w:p>
    <w:p w14:paraId="31224300" w14:textId="5CE20715" w:rsidR="001D6D74" w:rsidRPr="00856D2F" w:rsidRDefault="001D6D74" w:rsidP="00DF0F47">
      <w:pPr>
        <w:pStyle w:val="3"/>
        <w:keepNext w:val="0"/>
        <w:widowControl w:val="0"/>
        <w:rPr>
          <w:i w:val="0"/>
          <w:iCs/>
          <w:szCs w:val="20"/>
        </w:rPr>
      </w:pPr>
      <w:r w:rsidRPr="00856D2F">
        <w:rPr>
          <w:iCs/>
          <w:szCs w:val="20"/>
        </w:rPr>
        <w:t>Surface water model</w:t>
      </w:r>
    </w:p>
    <w:p w14:paraId="55D82A5A" w14:textId="118C6E25" w:rsidR="001D6D74" w:rsidRDefault="001D6D74" w:rsidP="001C0E5D">
      <w:pPr>
        <w:widowControl w:val="0"/>
        <w:spacing w:line="260" w:lineRule="exact"/>
        <w:jc w:val="both"/>
      </w:pPr>
      <w:r>
        <w:t>A</w:t>
      </w:r>
      <w:r>
        <w:rPr>
          <w:rFonts w:hint="eastAsia"/>
        </w:rPr>
        <w:t>nsys</w:t>
      </w:r>
      <w:r>
        <w:t xml:space="preserve"> </w:t>
      </w:r>
      <w:r w:rsidRPr="008C0DAF">
        <w:t xml:space="preserve">FLUENT was used to model the 3-D steady-state turbulent flow. The </w:t>
      </w:r>
      <w:r>
        <w:t>software</w:t>
      </w:r>
      <w:r w:rsidRPr="008C0DAF">
        <w:t xml:space="preserve"> solves Reynolds averaged Navier-Stokes (RANS) equations of mass and momentum conservation for an incompressible fluid:</w:t>
      </w:r>
    </w:p>
    <w:p w14:paraId="536A3464" w14:textId="77777777" w:rsidR="008F2102" w:rsidRPr="008C0DAF" w:rsidRDefault="008F2102" w:rsidP="001C0E5D">
      <w:pPr>
        <w:widowControl w:val="0"/>
        <w:spacing w:line="260" w:lineRule="exact"/>
        <w:jc w:val="both"/>
      </w:pPr>
    </w:p>
    <w:p w14:paraId="19898C2D" w14:textId="3B7B3055" w:rsidR="001D6D74" w:rsidRDefault="00BB762B" w:rsidP="00DF0F47">
      <w:pPr>
        <w:pStyle w:val="AMDisplayEquation"/>
        <w:widowControl w:val="0"/>
      </w:pPr>
      <w:r w:rsidRPr="001D6D74">
        <w:rPr>
          <w:position w:val="-22"/>
        </w:rPr>
        <w:object w:dxaOrig="1642" w:dyaOrig="544" w14:anchorId="5CE333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27pt" o:ole="">
            <v:imagedata r:id="rId9" o:title=""/>
          </v:shape>
          <o:OLEObject Type="Embed" ProgID="Equation.AxMath" ShapeID="_x0000_i1025" DrawAspect="Content" ObjectID="_1726671548" r:id="rId10">
            <o:FieldCodes>\* MERGEFORMAT</o:FieldCodes>
          </o:OLEObject>
        </w:object>
      </w:r>
      <w:r w:rsidR="008F2102">
        <w:t xml:space="preserve">                                                                                                                                               </w:t>
      </w:r>
      <w:r w:rsidR="001D6D74">
        <w:fldChar w:fldCharType="begin"/>
      </w:r>
      <w:r w:rsidR="001D6D74">
        <w:instrText xml:space="preserve"> MACROBUTTON AMMPlaceRM \* MERGEFORMAT </w:instrText>
      </w:r>
      <w:r w:rsidR="001D6D74">
        <w:fldChar w:fldCharType="begin"/>
      </w:r>
      <w:r w:rsidR="001D6D74">
        <w:instrText xml:space="preserve"> SEQ AMEqn \h \* MERGEFORMAT </w:instrText>
      </w:r>
      <w:r w:rsidR="001D6D74">
        <w:fldChar w:fldCharType="end"/>
      </w:r>
      <w:r w:rsidR="001D6D74">
        <w:instrText>(</w:instrText>
      </w:r>
      <w:fldSimple w:instr=" SEQ AMEqn \c \* Arabic \* MERGEFORMAT ">
        <w:r>
          <w:rPr>
            <w:noProof/>
          </w:rPr>
          <w:instrText>1</w:instrText>
        </w:r>
      </w:fldSimple>
      <w:r w:rsidR="001D6D74">
        <w:instrText>)</w:instrText>
      </w:r>
      <w:r w:rsidR="001D6D74">
        <w:fldChar w:fldCharType="end"/>
      </w:r>
    </w:p>
    <w:p w14:paraId="39E0A404" w14:textId="78F120F0" w:rsidR="001D6D74" w:rsidRDefault="00BB762B" w:rsidP="00DF0F47">
      <w:pPr>
        <w:pStyle w:val="AMDisplayEquation"/>
        <w:widowControl w:val="0"/>
      </w:pPr>
      <w:r w:rsidRPr="001D6D74">
        <w:rPr>
          <w:position w:val="-22"/>
        </w:rPr>
        <w:object w:dxaOrig="3764" w:dyaOrig="545" w14:anchorId="0DF5CBDB">
          <v:shape id="_x0000_i1026" type="#_x0000_t75" style="width:188.25pt;height:27pt" o:ole="">
            <v:imagedata r:id="rId11" o:title=""/>
          </v:shape>
          <o:OLEObject Type="Embed" ProgID="Equation.AxMath" ShapeID="_x0000_i1026" DrawAspect="Content" ObjectID="_1726671549" r:id="rId12">
            <o:FieldCodes>\* MERGEFORMAT</o:FieldCodes>
          </o:OLEObject>
        </w:object>
      </w:r>
      <w:r w:rsidR="008F2102">
        <w:t xml:space="preserve">                                                                                                     </w:t>
      </w:r>
      <w:r w:rsidR="001D6D74">
        <w:fldChar w:fldCharType="begin"/>
      </w:r>
      <w:r w:rsidR="001D6D74">
        <w:instrText xml:space="preserve"> MACROBUTTON AMMPlaceRM \* MERGEFORMAT </w:instrText>
      </w:r>
      <w:r w:rsidR="001D6D74">
        <w:fldChar w:fldCharType="begin"/>
      </w:r>
      <w:r w:rsidR="001D6D74">
        <w:instrText xml:space="preserve"> SEQ AMEqn \h \* MERGEFORMAT </w:instrText>
      </w:r>
      <w:r w:rsidR="001D6D74">
        <w:fldChar w:fldCharType="end"/>
      </w:r>
      <w:r w:rsidR="001D6D74">
        <w:instrText>(</w:instrText>
      </w:r>
      <w:fldSimple w:instr=" SEQ AMEqn \c \* Arabic \* MERGEFORMAT ">
        <w:r>
          <w:rPr>
            <w:noProof/>
          </w:rPr>
          <w:instrText>2</w:instrText>
        </w:r>
      </w:fldSimple>
      <w:r w:rsidR="001D6D74">
        <w:instrText>)</w:instrText>
      </w:r>
      <w:r w:rsidR="001D6D74">
        <w:fldChar w:fldCharType="end"/>
      </w:r>
    </w:p>
    <w:p w14:paraId="6EA843A7" w14:textId="6DA42DE6" w:rsidR="00DF0F47" w:rsidRPr="001D6D74" w:rsidRDefault="001D6D74" w:rsidP="001C0E5D">
      <w:pPr>
        <w:widowControl w:val="0"/>
        <w:spacing w:line="260" w:lineRule="exact"/>
        <w:jc w:val="both"/>
      </w:pPr>
      <w:r w:rsidRPr="00A878EA">
        <w:t xml:space="preserve">where </w:t>
      </w:r>
      <w:r w:rsidRPr="00A878EA">
        <w:rPr>
          <w:i/>
          <w:iCs/>
        </w:rPr>
        <w:t>t</w:t>
      </w:r>
      <w:r w:rsidRPr="00A878EA">
        <w:t xml:space="preserve"> denotes time, </w:t>
      </w:r>
      <w:r w:rsidRPr="00A878EA">
        <w:rPr>
          <w:i/>
          <w:iCs/>
        </w:rPr>
        <w:t>u</w:t>
      </w:r>
      <w:r w:rsidRPr="00A878EA">
        <w:t xml:space="preserve"> denotes velocity, </w:t>
      </w:r>
      <w:r w:rsidRPr="00A878EA">
        <w:rPr>
          <w:i/>
          <w:iCs/>
        </w:rPr>
        <w:t>p</w:t>
      </w:r>
      <w:r w:rsidRPr="00A878EA">
        <w:t xml:space="preserve"> denotes pressure, </w:t>
      </w:r>
      <w:r w:rsidRPr="00A878EA">
        <w:rPr>
          <w:i/>
          <w:iCs/>
        </w:rPr>
        <w:t>μ</w:t>
      </w:r>
      <w:r w:rsidRPr="00A878EA">
        <w:t xml:space="preserve"> denotes the dynamic viscosity coefficient (</w:t>
      </w:r>
      <w:r w:rsidRPr="00A878EA">
        <w:rPr>
          <w:i/>
          <w:iCs/>
        </w:rPr>
        <w:t>μ</w:t>
      </w:r>
      <w:r w:rsidRPr="00A878EA">
        <w:t xml:space="preserve"> = 0.001 </w:t>
      </w:r>
      <w:proofErr w:type="spellStart"/>
      <w:r w:rsidRPr="00A878EA">
        <w:t>Pa·s</w:t>
      </w:r>
      <w:proofErr w:type="spellEnd"/>
      <w:r w:rsidRPr="00A878EA">
        <w:t xml:space="preserve">), </w:t>
      </w:r>
      <w:r w:rsidRPr="00A878EA">
        <w:rPr>
          <w:i/>
          <w:iCs/>
        </w:rPr>
        <w:t>g</w:t>
      </w:r>
      <w:r w:rsidRPr="00A878EA">
        <w:t xml:space="preserve"> denotes gravity, and </w:t>
      </w:r>
      <w:r w:rsidRPr="00A878EA">
        <w:rPr>
          <w:i/>
          <w:iCs/>
        </w:rPr>
        <w:t>ρ</w:t>
      </w:r>
      <w:r w:rsidRPr="00A878EA">
        <w:t xml:space="preserve"> denotes fluid density (</w:t>
      </w:r>
      <w:r w:rsidRPr="00A878EA">
        <w:rPr>
          <w:i/>
          <w:iCs/>
        </w:rPr>
        <w:t>ρ</w:t>
      </w:r>
      <w:r w:rsidRPr="00A878EA">
        <w:t xml:space="preserve"> = </w:t>
      </w:r>
      <w:r>
        <w:t>998.2</w:t>
      </w:r>
      <w:r w:rsidRPr="00A878EA">
        <w:t xml:space="preserve"> kg/m</w:t>
      </w:r>
      <w:r w:rsidRPr="00A878EA">
        <w:rPr>
          <w:vertAlign w:val="superscript"/>
        </w:rPr>
        <w:t>3</w:t>
      </w:r>
      <w:r w:rsidRPr="00A878EA">
        <w:t>).</w:t>
      </w:r>
    </w:p>
    <w:p w14:paraId="6E061E9B" w14:textId="08BD2306" w:rsidR="00DF0F47" w:rsidRDefault="00DF0F47" w:rsidP="00DF0F47">
      <w:pPr>
        <w:pStyle w:val="3"/>
        <w:keepNext w:val="0"/>
        <w:widowControl w:val="0"/>
        <w:spacing w:line="260" w:lineRule="exact"/>
        <w:rPr>
          <w:szCs w:val="20"/>
        </w:rPr>
      </w:pPr>
      <w:r w:rsidRPr="00DF0F47">
        <w:rPr>
          <w:szCs w:val="20"/>
        </w:rPr>
        <w:t>Groundwater model</w:t>
      </w:r>
    </w:p>
    <w:p w14:paraId="1F01A88C" w14:textId="5B12E372" w:rsidR="00DF0F47" w:rsidRDefault="00DF0F47" w:rsidP="001C0E5D">
      <w:pPr>
        <w:widowControl w:val="0"/>
        <w:jc w:val="both"/>
      </w:pPr>
      <w:r w:rsidRPr="00DF0F47">
        <w:t>In our simulations, the subsurface flow model domain is totally saturated, and the governing equations according to the Darcy's law for an incompressible porous fluid are as follows:</w:t>
      </w:r>
    </w:p>
    <w:p w14:paraId="7EAC7FF3" w14:textId="77777777" w:rsidR="008F2102" w:rsidRDefault="008F2102" w:rsidP="001C0E5D">
      <w:pPr>
        <w:widowControl w:val="0"/>
        <w:jc w:val="both"/>
      </w:pPr>
    </w:p>
    <w:p w14:paraId="6742C4ED" w14:textId="4043B25B" w:rsidR="00DF0F47" w:rsidRDefault="00BB762B" w:rsidP="00DF0F47">
      <w:pPr>
        <w:pStyle w:val="AMDisplayEquation"/>
        <w:widowControl w:val="0"/>
      </w:pPr>
      <w:r w:rsidRPr="00DF0F47">
        <w:rPr>
          <w:position w:val="-22"/>
        </w:rPr>
        <w:object w:dxaOrig="1946" w:dyaOrig="544" w14:anchorId="077DDA88">
          <v:shape id="_x0000_i1027" type="#_x0000_t75" style="width:97.5pt;height:27pt" o:ole="">
            <v:imagedata r:id="rId13" o:title=""/>
          </v:shape>
          <o:OLEObject Type="Embed" ProgID="Equation.AxMath" ShapeID="_x0000_i1027" DrawAspect="Content" ObjectID="_1726671550" r:id="rId14">
            <o:FieldCodes>\* MERGEFORMAT</o:FieldCodes>
          </o:OLEObject>
        </w:object>
      </w:r>
      <w:r w:rsidR="008F2102">
        <w:t xml:space="preserve">                                                                                                                                         </w:t>
      </w:r>
      <w:r w:rsidR="00DF0F47">
        <w:fldChar w:fldCharType="begin"/>
      </w:r>
      <w:r w:rsidR="00DF0F47">
        <w:instrText xml:space="preserve"> MACROBUTTON AMMPlaceRM \* MERGEFORMAT </w:instrText>
      </w:r>
      <w:r w:rsidR="00DF0F47">
        <w:fldChar w:fldCharType="begin"/>
      </w:r>
      <w:r w:rsidR="00DF0F47">
        <w:instrText xml:space="preserve"> SEQ AMEqn \h \* MERGEFORMAT </w:instrText>
      </w:r>
      <w:r w:rsidR="00DF0F47">
        <w:fldChar w:fldCharType="end"/>
      </w:r>
      <w:r w:rsidR="00DF0F47">
        <w:instrText>(</w:instrText>
      </w:r>
      <w:fldSimple w:instr=" SEQ AMEqn \c \* Arabic \* MERGEFORMAT ">
        <w:r>
          <w:rPr>
            <w:noProof/>
          </w:rPr>
          <w:instrText>3</w:instrText>
        </w:r>
      </w:fldSimple>
      <w:r w:rsidR="00DF0F47">
        <w:instrText>)</w:instrText>
      </w:r>
      <w:r w:rsidR="00DF0F47">
        <w:fldChar w:fldCharType="end"/>
      </w:r>
    </w:p>
    <w:p w14:paraId="46DF6584" w14:textId="0EB81578" w:rsidR="00DF0F47" w:rsidRDefault="00BB762B" w:rsidP="00DF0F47">
      <w:pPr>
        <w:pStyle w:val="AMDisplayEquation"/>
        <w:widowControl w:val="0"/>
      </w:pPr>
      <w:r w:rsidRPr="00DF0F47">
        <w:rPr>
          <w:position w:val="-22"/>
        </w:rPr>
        <w:object w:dxaOrig="2285" w:dyaOrig="544" w14:anchorId="78678C64">
          <v:shape id="_x0000_i1028" type="#_x0000_t75" style="width:114pt;height:27pt" o:ole="">
            <v:imagedata r:id="rId15" o:title=""/>
          </v:shape>
          <o:OLEObject Type="Embed" ProgID="Equation.AxMath" ShapeID="_x0000_i1028" DrawAspect="Content" ObjectID="_1726671551" r:id="rId16">
            <o:FieldCodes>\* MERGEFORMAT</o:FieldCodes>
          </o:OLEObject>
        </w:object>
      </w:r>
      <w:r w:rsidR="008F2102">
        <w:t xml:space="preserve">                                                                                                                                   </w:t>
      </w:r>
      <w:r w:rsidR="00DF0F47">
        <w:fldChar w:fldCharType="begin"/>
      </w:r>
      <w:r w:rsidR="00DF0F47">
        <w:instrText xml:space="preserve"> MACROBUTTON AMMPlaceRM \* MERGEFORMAT </w:instrText>
      </w:r>
      <w:r w:rsidR="00DF0F47">
        <w:fldChar w:fldCharType="begin"/>
      </w:r>
      <w:r w:rsidR="00DF0F47">
        <w:instrText xml:space="preserve"> SEQ AMEqn \h \* MERGEFORMAT </w:instrText>
      </w:r>
      <w:r w:rsidR="00DF0F47">
        <w:fldChar w:fldCharType="end"/>
      </w:r>
      <w:r w:rsidR="00DF0F47">
        <w:instrText>(</w:instrText>
      </w:r>
      <w:fldSimple w:instr=" SEQ AMEqn \c \* Arabic \* MERGEFORMAT ">
        <w:r>
          <w:rPr>
            <w:noProof/>
          </w:rPr>
          <w:instrText>4</w:instrText>
        </w:r>
      </w:fldSimple>
      <w:r w:rsidR="00DF0F47">
        <w:instrText>)</w:instrText>
      </w:r>
      <w:r w:rsidR="00DF0F47">
        <w:fldChar w:fldCharType="end"/>
      </w:r>
    </w:p>
    <w:p w14:paraId="471C4DAC" w14:textId="77777777" w:rsidR="008F2102" w:rsidRPr="008F2102" w:rsidRDefault="008F2102" w:rsidP="008F2102"/>
    <w:p w14:paraId="58ADF087" w14:textId="4FACFCF7" w:rsidR="00DF0F47" w:rsidRPr="00DF0F47" w:rsidRDefault="00DF0F47" w:rsidP="00DF0F47">
      <w:pPr>
        <w:widowControl w:val="0"/>
        <w:jc w:val="both"/>
      </w:pPr>
      <w:r w:rsidRPr="00DF0F47">
        <w:t xml:space="preserve">where </w:t>
      </w:r>
      <w:r w:rsidRPr="006C6215">
        <w:rPr>
          <w:i/>
          <w:iCs/>
        </w:rPr>
        <w:t>z</w:t>
      </w:r>
      <w:r w:rsidRPr="00DF0F47">
        <w:t xml:space="preserve"> is the elevation, </w:t>
      </w:r>
      <w:r w:rsidRPr="006C6215">
        <w:rPr>
          <w:i/>
          <w:iCs/>
        </w:rPr>
        <w:t>p</w:t>
      </w:r>
      <w:r w:rsidRPr="00DF0F47">
        <w:t xml:space="preserve"> is the pressure, </w:t>
      </w:r>
      <w:r w:rsidRPr="00DF0F47">
        <w:rPr>
          <w:b/>
          <w:bCs/>
        </w:rPr>
        <w:t>q</w:t>
      </w:r>
      <w:r w:rsidRPr="00DF0F47">
        <w:t xml:space="preserve"> is the Darcy flux, </w:t>
      </w:r>
      <w:r w:rsidRPr="006C6215">
        <w:rPr>
          <w:i/>
          <w:iCs/>
        </w:rPr>
        <w:t>K</w:t>
      </w:r>
      <w:r w:rsidRPr="00DF0F47">
        <w:t xml:space="preserve"> is the hydraulic conductivity, and </w:t>
      </w:r>
      <w:r w:rsidR="00BB762B" w:rsidRPr="00507171">
        <w:rPr>
          <w:position w:val="-10"/>
        </w:rPr>
        <w:object w:dxaOrig="164" w:dyaOrig="297" w14:anchorId="240DD4B1">
          <v:shape id="_x0000_i1029" type="#_x0000_t75" style="width:8.25pt;height:15pt" o:ole="">
            <v:imagedata r:id="rId17" o:title=""/>
          </v:shape>
          <o:OLEObject Type="Embed" ProgID="Equation.AxMath" ShapeID="_x0000_i1029" DrawAspect="Content" ObjectID="_1726671552" r:id="rId18">
            <o:FieldCodes>\* MERGEFORMAT</o:FieldCodes>
          </o:OLEObject>
        </w:object>
      </w:r>
      <w:r w:rsidRPr="00DF0F47">
        <w:t xml:space="preserve"> is the fluid density [25].</w:t>
      </w:r>
    </w:p>
    <w:p w14:paraId="7B43B871" w14:textId="0928E803" w:rsidR="00DF0F47" w:rsidRDefault="00DF0F47" w:rsidP="00DF0F47">
      <w:pPr>
        <w:pStyle w:val="3"/>
        <w:keepNext w:val="0"/>
        <w:widowControl w:val="0"/>
        <w:spacing w:line="260" w:lineRule="exact"/>
        <w:rPr>
          <w:szCs w:val="20"/>
        </w:rPr>
      </w:pPr>
      <w:r w:rsidRPr="001E18D0">
        <w:rPr>
          <w:szCs w:val="20"/>
        </w:rPr>
        <w:t>Multicomponent reactive transport model</w:t>
      </w:r>
    </w:p>
    <w:p w14:paraId="01598354" w14:textId="4B344304" w:rsidR="00DF0F47" w:rsidRDefault="00DF0F47" w:rsidP="00DF0F47">
      <w:pPr>
        <w:widowControl w:val="0"/>
        <w:jc w:val="both"/>
      </w:pPr>
      <w:r w:rsidRPr="00DF0F47">
        <w:lastRenderedPageBreak/>
        <w:t>A multicomponent reactive transport model was developed to simulate major biogeochemical processes in bedforms, such as aerobic respiration, nitrification and denitrification. Four reactive compounds (DOC, DO, NO</w:t>
      </w:r>
      <w:r w:rsidRPr="00DF0F47">
        <w:rPr>
          <w:vertAlign w:val="subscript"/>
        </w:rPr>
        <w:t>3</w:t>
      </w:r>
      <w:r w:rsidRPr="00DF0F47">
        <w:rPr>
          <w:vertAlign w:val="superscript"/>
        </w:rPr>
        <w:t>−</w:t>
      </w:r>
      <w:r w:rsidRPr="00DF0F47">
        <w:t xml:space="preserve"> and NH</w:t>
      </w:r>
      <w:r w:rsidRPr="00DF0F47">
        <w:rPr>
          <w:vertAlign w:val="subscript"/>
        </w:rPr>
        <w:t>4</w:t>
      </w:r>
      <w:r w:rsidRPr="00DF0F47">
        <w:rPr>
          <w:vertAlign w:val="superscript"/>
        </w:rPr>
        <w:t>+</w:t>
      </w:r>
      <w:r w:rsidRPr="00DF0F47">
        <w:t>) were used as source inputs at the sediment–water interface (SWI).</w:t>
      </w:r>
    </w:p>
    <w:p w14:paraId="2EFBDE73" w14:textId="652D19BA" w:rsidR="00DF0F47" w:rsidRDefault="00DF0F47" w:rsidP="003A506C">
      <w:pPr>
        <w:ind w:firstLineChars="213" w:firstLine="426"/>
        <w:jc w:val="both"/>
      </w:pPr>
      <w:r w:rsidRPr="00DF0F47">
        <w:t>Reactive transport for steady-state reactions was simulated as follows:</w:t>
      </w:r>
    </w:p>
    <w:p w14:paraId="0E40E484" w14:textId="77777777" w:rsidR="008F2102" w:rsidRDefault="008F2102" w:rsidP="00845712">
      <w:pPr>
        <w:jc w:val="both"/>
      </w:pPr>
    </w:p>
    <w:p w14:paraId="2C04BFDF" w14:textId="6A8B5DAA" w:rsidR="00DF0F47" w:rsidRDefault="00BB762B" w:rsidP="00DF0F47">
      <w:pPr>
        <w:pStyle w:val="AMDisplayEquation"/>
      </w:pPr>
      <w:r w:rsidRPr="00DF0F47">
        <w:rPr>
          <w:position w:val="-22"/>
        </w:rPr>
        <w:object w:dxaOrig="5155" w:dyaOrig="558" w14:anchorId="79D48165">
          <v:shape id="_x0000_i1030" type="#_x0000_t75" style="width:257.25pt;height:27.75pt" o:ole="">
            <v:imagedata r:id="rId19" o:title=""/>
          </v:shape>
          <o:OLEObject Type="Embed" ProgID="Equation.AxMath" ShapeID="_x0000_i1030" DrawAspect="Content" ObjectID="_1726671553" r:id="rId20">
            <o:FieldCodes>\* MERGEFORMAT</o:FieldCodes>
          </o:OLEObject>
        </w:object>
      </w:r>
      <w:r w:rsidR="008F2102">
        <w:t xml:space="preserve">                                                                         </w:t>
      </w:r>
      <w:r w:rsidR="00DF0F47">
        <w:fldChar w:fldCharType="begin"/>
      </w:r>
      <w:r w:rsidR="00DF0F47">
        <w:instrText xml:space="preserve"> MACROBUTTON AMMPlaceRM \* MERGEFORMAT </w:instrText>
      </w:r>
      <w:r w:rsidR="00DF0F47">
        <w:fldChar w:fldCharType="begin"/>
      </w:r>
      <w:r w:rsidR="00DF0F47">
        <w:instrText xml:space="preserve"> SEQ AMEqn \h \* MERGEFORMAT </w:instrText>
      </w:r>
      <w:r w:rsidR="00DF0F47">
        <w:fldChar w:fldCharType="end"/>
      </w:r>
      <w:r w:rsidR="00DF0F47">
        <w:instrText>(</w:instrText>
      </w:r>
      <w:fldSimple w:instr=" SEQ AMEqn \c \* Arabic \* MERGEFORMAT ">
        <w:r>
          <w:rPr>
            <w:noProof/>
          </w:rPr>
          <w:instrText>5</w:instrText>
        </w:r>
      </w:fldSimple>
      <w:r w:rsidR="00DF0F47">
        <w:instrText>)</w:instrText>
      </w:r>
      <w:r w:rsidR="00DF0F47">
        <w:fldChar w:fldCharType="end"/>
      </w:r>
    </w:p>
    <w:p w14:paraId="7F95280F" w14:textId="77777777" w:rsidR="008F2102" w:rsidRPr="008F2102" w:rsidRDefault="008F2102" w:rsidP="008F2102"/>
    <w:p w14:paraId="33805053" w14:textId="182EB778" w:rsidR="00DF0F47" w:rsidRDefault="00DF0F47" w:rsidP="00DF0F47">
      <w:pPr>
        <w:jc w:val="both"/>
      </w:pPr>
      <w:r w:rsidRPr="00DF0F47">
        <w:t xml:space="preserve">where </w:t>
      </w:r>
      <w:r w:rsidR="00BB762B" w:rsidRPr="00507171">
        <w:rPr>
          <w:position w:val="-10"/>
        </w:rPr>
        <w:object w:dxaOrig="219" w:dyaOrig="298" w14:anchorId="394512AE">
          <v:shape id="_x0000_i1031" type="#_x0000_t75" style="width:10.5pt;height:15pt" o:ole="">
            <v:imagedata r:id="rId21" o:title=""/>
          </v:shape>
          <o:OLEObject Type="Embed" ProgID="Equation.AxMath" ShapeID="_x0000_i1031" DrawAspect="Content" ObjectID="_1726671554" r:id="rId22">
            <o:FieldCodes>\* MERGEFORMAT</o:FieldCodes>
          </o:OLEObject>
        </w:object>
      </w:r>
      <w:r w:rsidRPr="00DF0F47">
        <w:t xml:space="preserve">  denotes the solute species</w:t>
      </w:r>
      <w:r>
        <w:t>’</w:t>
      </w:r>
      <w:r w:rsidRPr="00DF0F47">
        <w:t xml:space="preserve"> kinetic rate (in source/sink terms),  </w:t>
      </w:r>
      <w:r w:rsidR="00BB762B" w:rsidRPr="00507171">
        <w:rPr>
          <w:position w:val="-10"/>
        </w:rPr>
        <w:object w:dxaOrig="216" w:dyaOrig="298" w14:anchorId="01C50AD0">
          <v:shape id="_x0000_i1032" type="#_x0000_t75" style="width:10.5pt;height:15pt" o:ole="">
            <v:imagedata r:id="rId23" o:title=""/>
          </v:shape>
          <o:OLEObject Type="Embed" ProgID="Equation.AxMath" ShapeID="_x0000_i1032" DrawAspect="Content" ObjectID="_1726671555" r:id="rId24">
            <o:FieldCodes>\* MERGEFORMAT</o:FieldCodes>
          </o:OLEObject>
        </w:object>
      </w:r>
      <w:r w:rsidRPr="00DF0F47">
        <w:t xml:space="preserve"> is the solute species’ concentration, and  </w:t>
      </w:r>
      <w:r w:rsidR="00BB762B" w:rsidRPr="00507171">
        <w:rPr>
          <w:position w:val="-10"/>
        </w:rPr>
        <w:object w:dxaOrig="155" w:dyaOrig="297" w14:anchorId="59E70D2E">
          <v:shape id="_x0000_i1033" type="#_x0000_t75" style="width:8.25pt;height:15pt" o:ole="">
            <v:imagedata r:id="rId25" o:title=""/>
          </v:shape>
          <o:OLEObject Type="Embed" ProgID="Equation.AxMath" ShapeID="_x0000_i1033" DrawAspect="Content" ObjectID="_1726671556" r:id="rId26">
            <o:FieldCodes>\* MERGEFORMAT</o:FieldCodes>
          </o:OLEObject>
        </w:object>
      </w:r>
      <w:r w:rsidRPr="00DF0F47">
        <w:t xml:space="preserve"> is the sediment porosity (</w:t>
      </w:r>
      <w:r w:rsidR="00BB762B" w:rsidRPr="00507171">
        <w:rPr>
          <w:position w:val="-10"/>
        </w:rPr>
        <w:object w:dxaOrig="155" w:dyaOrig="297" w14:anchorId="0FD41D3F">
          <v:shape id="_x0000_i1034" type="#_x0000_t75" style="width:8.25pt;height:15pt" o:ole="">
            <v:imagedata r:id="rId25" o:title=""/>
          </v:shape>
          <o:OLEObject Type="Embed" ProgID="Equation.AxMath" ShapeID="_x0000_i1034" DrawAspect="Content" ObjectID="_1726671557" r:id="rId27">
            <o:FieldCodes>\* MERGEFORMAT</o:FieldCodes>
          </o:OLEObject>
        </w:object>
      </w:r>
      <w:r w:rsidRPr="00DF0F47">
        <w:t xml:space="preserve"> = 0.3). D (</w:t>
      </w:r>
      <w:r w:rsidR="00BB762B" w:rsidRPr="00C87E99">
        <w:rPr>
          <w:position w:val="-10"/>
        </w:rPr>
        <w:object w:dxaOrig="279" w:dyaOrig="298" w14:anchorId="5324E389">
          <v:shape id="_x0000_i1035" type="#_x0000_t75" style="width:14.25pt;height:15pt" o:ole="">
            <v:imagedata r:id="rId28" o:title=""/>
          </v:shape>
          <o:OLEObject Type="Embed" ProgID="Equation.AxMath" ShapeID="_x0000_i1035" DrawAspect="Content" ObjectID="_1726671558" r:id="rId29">
            <o:FieldCodes>\* MERGEFORMAT</o:FieldCodes>
          </o:OLEObject>
        </w:object>
      </w:r>
      <w:r w:rsidRPr="00DF0F47">
        <w:t>) is the hydrodynamic dispersion tensor, is defined as</w:t>
      </w:r>
      <w:r>
        <w:t xml:space="preserve"> </w:t>
      </w:r>
      <w:r w:rsidRPr="00DF0F47">
        <w:t>[26]:</w:t>
      </w:r>
    </w:p>
    <w:p w14:paraId="53413F59" w14:textId="77777777" w:rsidR="008F2102" w:rsidRDefault="008F2102" w:rsidP="00DF0F47">
      <w:pPr>
        <w:jc w:val="both"/>
      </w:pPr>
    </w:p>
    <w:p w14:paraId="309C1224" w14:textId="32F63FD6" w:rsidR="00DF0F47" w:rsidRDefault="00BB762B" w:rsidP="00DF0F47">
      <w:pPr>
        <w:pStyle w:val="AMDisplayEquation"/>
      </w:pPr>
      <w:r w:rsidRPr="00DF0F47">
        <w:rPr>
          <w:position w:val="-23"/>
        </w:rPr>
        <w:object w:dxaOrig="3330" w:dyaOrig="557" w14:anchorId="4E3C56B9">
          <v:shape id="_x0000_i1036" type="#_x0000_t75" style="width:166.5pt;height:27.75pt" o:ole="">
            <v:imagedata r:id="rId30" o:title=""/>
          </v:shape>
          <o:OLEObject Type="Embed" ProgID="Equation.AxMath" ShapeID="_x0000_i1036" DrawAspect="Content" ObjectID="_1726671559" r:id="rId31">
            <o:FieldCodes>\* MERGEFORMAT</o:FieldCodes>
          </o:OLEObject>
        </w:object>
      </w:r>
      <w:r w:rsidR="008F2102">
        <w:t xml:space="preserve">                                                                                                              </w:t>
      </w:r>
      <w:r w:rsidR="00DF0F47">
        <w:fldChar w:fldCharType="begin"/>
      </w:r>
      <w:r w:rsidR="00DF0F47">
        <w:instrText xml:space="preserve"> MACROBUTTON AMMPlaceRM \* MERGEFORMAT </w:instrText>
      </w:r>
      <w:r w:rsidR="00DF0F47">
        <w:fldChar w:fldCharType="begin"/>
      </w:r>
      <w:r w:rsidR="00DF0F47">
        <w:instrText xml:space="preserve"> SEQ AMEqn \h \* MERGEFORMAT </w:instrText>
      </w:r>
      <w:r w:rsidR="00DF0F47">
        <w:fldChar w:fldCharType="end"/>
      </w:r>
      <w:r w:rsidR="00DF0F47">
        <w:instrText>(</w:instrText>
      </w:r>
      <w:fldSimple w:instr=" SEQ AMEqn \c \* Arabic \* MERGEFORMAT ">
        <w:r>
          <w:rPr>
            <w:noProof/>
          </w:rPr>
          <w:instrText>6</w:instrText>
        </w:r>
      </w:fldSimple>
      <w:r w:rsidR="00DF0F47">
        <w:instrText>)</w:instrText>
      </w:r>
      <w:r w:rsidR="00DF0F47">
        <w:fldChar w:fldCharType="end"/>
      </w:r>
    </w:p>
    <w:p w14:paraId="639957F4" w14:textId="77777777" w:rsidR="008F2102" w:rsidRPr="008F2102" w:rsidRDefault="008F2102" w:rsidP="008F2102"/>
    <w:p w14:paraId="5E308BC4" w14:textId="26461334" w:rsidR="00DF0F47" w:rsidRDefault="00DF0F47" w:rsidP="00DF0F47">
      <w:pPr>
        <w:jc w:val="both"/>
      </w:pPr>
      <w:r w:rsidRPr="00DF0F47">
        <w:t xml:space="preserve">where </w:t>
      </w:r>
      <w:r w:rsidR="00BB762B" w:rsidRPr="00507171">
        <w:rPr>
          <w:position w:val="-10"/>
        </w:rPr>
        <w:object w:dxaOrig="302" w:dyaOrig="298" w14:anchorId="5093D322">
          <v:shape id="_x0000_i1037" type="#_x0000_t75" style="width:15pt;height:15pt" o:ole="">
            <v:imagedata r:id="rId32" o:title=""/>
          </v:shape>
          <o:OLEObject Type="Embed" ProgID="Equation.AxMath" ShapeID="_x0000_i1037" DrawAspect="Content" ObjectID="_1726671560" r:id="rId33">
            <o:FieldCodes>\* MERGEFORMAT</o:FieldCodes>
          </o:OLEObject>
        </w:object>
      </w:r>
      <w:r w:rsidRPr="00DF0F47">
        <w:t xml:space="preserve"> is the molecular diffusion coefficient (</w:t>
      </w:r>
      <w:r w:rsidR="00BB762B" w:rsidRPr="00507171">
        <w:rPr>
          <w:position w:val="-10"/>
        </w:rPr>
        <w:object w:dxaOrig="302" w:dyaOrig="298" w14:anchorId="5314ADC1">
          <v:shape id="_x0000_i1038" type="#_x0000_t75" style="width:15pt;height:15pt" o:ole="">
            <v:imagedata r:id="rId32" o:title=""/>
          </v:shape>
          <o:OLEObject Type="Embed" ProgID="Equation.AxMath" ShapeID="_x0000_i1038" DrawAspect="Content" ObjectID="_1726671561" r:id="rId34">
            <o:FieldCodes>\* MERGEFORMAT</o:FieldCodes>
          </o:OLEObject>
        </w:object>
      </w:r>
      <w:r w:rsidRPr="00DF0F47">
        <w:t xml:space="preserve"> = 1 × 10</w:t>
      </w:r>
      <w:r w:rsidRPr="00DF0F47">
        <w:rPr>
          <w:vertAlign w:val="superscript"/>
        </w:rPr>
        <w:t>-9</w:t>
      </w:r>
      <w:r w:rsidRPr="00DF0F47">
        <w:t xml:space="preserve"> m</w:t>
      </w:r>
      <w:r w:rsidRPr="00DF0F47">
        <w:rPr>
          <w:vertAlign w:val="superscript"/>
        </w:rPr>
        <w:t>2</w:t>
      </w:r>
      <w:r w:rsidRPr="00DF0F47">
        <w:t xml:space="preserve">/s), </w:t>
      </w:r>
      <w:r w:rsidR="00BB762B" w:rsidRPr="00507171">
        <w:rPr>
          <w:position w:val="-10"/>
        </w:rPr>
        <w:object w:dxaOrig="237" w:dyaOrig="298" w14:anchorId="6B17D18D">
          <v:shape id="_x0000_i1039" type="#_x0000_t75" style="width:12pt;height:15pt" o:ole="">
            <v:imagedata r:id="rId35" o:title=""/>
          </v:shape>
          <o:OLEObject Type="Embed" ProgID="Equation.AxMath" ShapeID="_x0000_i1039" DrawAspect="Content" ObjectID="_1726671562" r:id="rId36">
            <o:FieldCodes>\* MERGEFORMAT</o:FieldCodes>
          </o:OLEObject>
        </w:object>
      </w:r>
      <w:r w:rsidR="008A4161">
        <w:t xml:space="preserve"> </w:t>
      </w:r>
      <w:r w:rsidRPr="00DF0F47">
        <w:t xml:space="preserve">is the transverse </w:t>
      </w:r>
      <w:proofErr w:type="spellStart"/>
      <w:r w:rsidRPr="00DF0F47">
        <w:t>dispersivity</w:t>
      </w:r>
      <w:proofErr w:type="spellEnd"/>
      <w:r w:rsidRPr="00DF0F47">
        <w:t xml:space="preserve"> coefficient (</w:t>
      </w:r>
      <w:r w:rsidR="00BB762B" w:rsidRPr="00507171">
        <w:rPr>
          <w:position w:val="-10"/>
        </w:rPr>
        <w:object w:dxaOrig="237" w:dyaOrig="298" w14:anchorId="2EDCEB4D">
          <v:shape id="_x0000_i1040" type="#_x0000_t75" style="width:12pt;height:15pt" o:ole="">
            <v:imagedata r:id="rId35" o:title=""/>
          </v:shape>
          <o:OLEObject Type="Embed" ProgID="Equation.AxMath" ShapeID="_x0000_i1040" DrawAspect="Content" ObjectID="_1726671563" r:id="rId37">
            <o:FieldCodes>\* MERGEFORMAT</o:FieldCodes>
          </o:OLEObject>
        </w:object>
      </w:r>
      <w:r w:rsidRPr="00DF0F47">
        <w:t xml:space="preserve"> = 0.001 m), </w:t>
      </w:r>
      <w:r w:rsidR="00BB762B" w:rsidRPr="00507171">
        <w:rPr>
          <w:position w:val="-10"/>
        </w:rPr>
        <w:object w:dxaOrig="234" w:dyaOrig="298" w14:anchorId="53E46A13">
          <v:shape id="_x0000_i1041" type="#_x0000_t75" style="width:12pt;height:15pt" o:ole="">
            <v:imagedata r:id="rId38" o:title=""/>
          </v:shape>
          <o:OLEObject Type="Embed" ProgID="Equation.AxMath" ShapeID="_x0000_i1041" DrawAspect="Content" ObjectID="_1726671564" r:id="rId39">
            <o:FieldCodes>\* MERGEFORMAT</o:FieldCodes>
          </o:OLEObject>
        </w:object>
      </w:r>
      <w:r w:rsidRPr="00DF0F47">
        <w:t xml:space="preserve"> is the longitudinal </w:t>
      </w:r>
      <w:proofErr w:type="spellStart"/>
      <w:r w:rsidRPr="00DF0F47">
        <w:t>dispersivity</w:t>
      </w:r>
      <w:proofErr w:type="spellEnd"/>
      <w:r w:rsidRPr="00DF0F47">
        <w:t xml:space="preserve"> coefficient ( </w:t>
      </w:r>
      <w:r w:rsidR="00BB762B" w:rsidRPr="00507171">
        <w:rPr>
          <w:position w:val="-10"/>
        </w:rPr>
        <w:object w:dxaOrig="234" w:dyaOrig="298" w14:anchorId="54567BA1">
          <v:shape id="_x0000_i1042" type="#_x0000_t75" style="width:12pt;height:15pt" o:ole="">
            <v:imagedata r:id="rId38" o:title=""/>
          </v:shape>
          <o:OLEObject Type="Embed" ProgID="Equation.AxMath" ShapeID="_x0000_i1042" DrawAspect="Content" ObjectID="_1726671565" r:id="rId40">
            <o:FieldCodes>\* MERGEFORMAT</o:FieldCodes>
          </o:OLEObject>
        </w:object>
      </w:r>
      <w:r w:rsidRPr="00DF0F47">
        <w:t xml:space="preserve"> = 0.01 m) [27, 28].</w:t>
      </w:r>
    </w:p>
    <w:p w14:paraId="11C04B10" w14:textId="0CD0178A" w:rsidR="006C6215" w:rsidRDefault="006C6215" w:rsidP="003A506C">
      <w:pPr>
        <w:ind w:firstLineChars="213" w:firstLine="426"/>
        <w:jc w:val="both"/>
      </w:pPr>
      <w:r w:rsidRPr="001E18D0">
        <w:t xml:space="preserve">The oxidation of DOC is considered the key reaction and the direct source of chemical energy in this study. For the oxidation of DOC, a first-order degrading kinetics </w:t>
      </w:r>
      <w:r>
        <w:t>was</w:t>
      </w:r>
      <w:r w:rsidRPr="001E18D0">
        <w:t xml:space="preserve"> assumed:</w:t>
      </w:r>
    </w:p>
    <w:p w14:paraId="2623D231" w14:textId="77777777" w:rsidR="008F2102" w:rsidRDefault="008F2102" w:rsidP="00845712">
      <w:pPr>
        <w:jc w:val="both"/>
      </w:pPr>
    </w:p>
    <w:p w14:paraId="4DBD12B6" w14:textId="3501828D" w:rsidR="006C6215" w:rsidRDefault="00BB762B" w:rsidP="006C6215">
      <w:pPr>
        <w:pStyle w:val="AMDisplayEquation"/>
      </w:pPr>
      <w:r w:rsidRPr="006C6215">
        <w:rPr>
          <w:position w:val="-10"/>
        </w:rPr>
        <w:object w:dxaOrig="1363" w:dyaOrig="298" w14:anchorId="72B71B99">
          <v:shape id="_x0000_i1043" type="#_x0000_t75" style="width:68.25pt;height:15pt" o:ole="">
            <v:imagedata r:id="rId41" o:title=""/>
          </v:shape>
          <o:OLEObject Type="Embed" ProgID="Equation.AxMath" ShapeID="_x0000_i1043" DrawAspect="Content" ObjectID="_1726671566" r:id="rId42">
            <o:FieldCodes>\* MERGEFORMAT</o:FieldCodes>
          </o:OLEObject>
        </w:object>
      </w:r>
      <w:r w:rsidR="008F2102">
        <w:t xml:space="preserve">                                                                                                                                                     </w:t>
      </w:r>
      <w:r w:rsidR="006C6215">
        <w:fldChar w:fldCharType="begin"/>
      </w:r>
      <w:r w:rsidR="006C6215">
        <w:instrText xml:space="preserve"> MACROBUTTON AMMPlaceRM \* MERGEFORMAT </w:instrText>
      </w:r>
      <w:r w:rsidR="006C6215">
        <w:fldChar w:fldCharType="begin"/>
      </w:r>
      <w:r w:rsidR="006C6215">
        <w:instrText xml:space="preserve"> SEQ AMEqn \h \* MERGEFORMAT </w:instrText>
      </w:r>
      <w:r w:rsidR="006C6215">
        <w:fldChar w:fldCharType="end"/>
      </w:r>
      <w:r w:rsidR="006C6215">
        <w:instrText>(</w:instrText>
      </w:r>
      <w:fldSimple w:instr=" SEQ AMEqn \c \* Arabic \* MERGEFORMAT ">
        <w:r>
          <w:rPr>
            <w:noProof/>
          </w:rPr>
          <w:instrText>7</w:instrText>
        </w:r>
      </w:fldSimple>
      <w:r w:rsidR="006C6215">
        <w:instrText>)</w:instrText>
      </w:r>
      <w:r w:rsidR="006C6215">
        <w:fldChar w:fldCharType="end"/>
      </w:r>
    </w:p>
    <w:p w14:paraId="7DBDEFDE" w14:textId="77777777" w:rsidR="008F2102" w:rsidRPr="008F2102" w:rsidRDefault="008F2102" w:rsidP="008F2102"/>
    <w:p w14:paraId="3C061E98" w14:textId="28CD5433" w:rsidR="006C6215" w:rsidRDefault="006C6215" w:rsidP="001C0E5D">
      <w:pPr>
        <w:jc w:val="both"/>
      </w:pPr>
      <w:r w:rsidRPr="006C6215">
        <w:t xml:space="preserve">where </w:t>
      </w:r>
      <w:r w:rsidR="00BB762B" w:rsidRPr="00507171">
        <w:rPr>
          <w:position w:val="-10"/>
        </w:rPr>
        <w:object w:dxaOrig="197" w:dyaOrig="298" w14:anchorId="6B24B443">
          <v:shape id="_x0000_i1044" type="#_x0000_t75" style="width:9.75pt;height:15pt" o:ole="">
            <v:imagedata r:id="rId43" o:title=""/>
          </v:shape>
          <o:OLEObject Type="Embed" ProgID="Equation.AxMath" ShapeID="_x0000_i1044" DrawAspect="Content" ObjectID="_1726671567" r:id="rId44">
            <o:FieldCodes>\* MERGEFORMAT</o:FieldCodes>
          </o:OLEObject>
        </w:object>
      </w:r>
      <w:r w:rsidRPr="006C6215">
        <w:t xml:space="preserve"> is the constant of DOC degradation and </w:t>
      </w:r>
      <w:r w:rsidR="00BB762B" w:rsidRPr="00507171">
        <w:rPr>
          <w:position w:val="-10"/>
        </w:rPr>
        <w:object w:dxaOrig="454" w:dyaOrig="298" w14:anchorId="492052CB">
          <v:shape id="_x0000_i1045" type="#_x0000_t75" style="width:23.25pt;height:15pt" o:ole="">
            <v:imagedata r:id="rId45" o:title=""/>
          </v:shape>
          <o:OLEObject Type="Embed" ProgID="Equation.AxMath" ShapeID="_x0000_i1045" DrawAspect="Content" ObjectID="_1726671568" r:id="rId46">
            <o:FieldCodes>\* MERGEFORMAT</o:FieldCodes>
          </o:OLEObject>
        </w:object>
      </w:r>
      <w:r w:rsidRPr="006C6215">
        <w:t xml:space="preserve"> is the DOC concentration.</w:t>
      </w:r>
    </w:p>
    <w:p w14:paraId="09215058" w14:textId="77777777" w:rsidR="006C6215" w:rsidRDefault="006C6215" w:rsidP="006C6215"/>
    <w:p w14:paraId="5A95EA0F" w14:textId="66EAC3CC" w:rsidR="006C6215" w:rsidRDefault="006C6215" w:rsidP="006C6215">
      <w:pPr>
        <w:jc w:val="center"/>
      </w:pPr>
      <w:r w:rsidRPr="001E18D0">
        <w:rPr>
          <w:noProof/>
          <w:lang w:eastAsia="zh-CN"/>
        </w:rPr>
        <w:drawing>
          <wp:inline distT="0" distB="0" distL="0" distR="0" wp14:anchorId="4DF206CF" wp14:editId="58FC1966">
            <wp:extent cx="3877310" cy="4696845"/>
            <wp:effectExtent l="0" t="0" r="889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7"/>
                    <a:stretch>
                      <a:fillRect/>
                    </a:stretch>
                  </pic:blipFill>
                  <pic:spPr bwMode="auto">
                    <a:xfrm>
                      <a:off x="0" y="0"/>
                      <a:ext cx="3877310" cy="4696845"/>
                    </a:xfrm>
                    <a:prstGeom prst="rect">
                      <a:avLst/>
                    </a:prstGeom>
                    <a:noFill/>
                    <a:ln>
                      <a:noFill/>
                    </a:ln>
                  </pic:spPr>
                </pic:pic>
              </a:graphicData>
            </a:graphic>
          </wp:inline>
        </w:drawing>
      </w:r>
    </w:p>
    <w:p w14:paraId="57666138" w14:textId="11C1D691" w:rsidR="006C6215" w:rsidRDefault="006C6215" w:rsidP="006C6215">
      <w:pPr>
        <w:jc w:val="both"/>
      </w:pPr>
      <w:r w:rsidRPr="006C6215">
        <w:t>Figure 2. Model domains and boundaries for water flow and nutrient transport.</w:t>
      </w:r>
    </w:p>
    <w:p w14:paraId="15BAA443" w14:textId="3B5C72D8" w:rsidR="006C6215" w:rsidRPr="006C6215" w:rsidRDefault="00765001" w:rsidP="003A506C">
      <w:pPr>
        <w:ind w:firstLineChars="213" w:firstLine="426"/>
        <w:jc w:val="both"/>
      </w:pPr>
      <w:r w:rsidRPr="00765001">
        <w:t>The electrons produced by the oxidation of DOC (i.e., electron donor) are transferred to potential terminal acceptors such as O</w:t>
      </w:r>
      <w:r w:rsidRPr="00765001">
        <w:rPr>
          <w:vertAlign w:val="subscript"/>
        </w:rPr>
        <w:t>2</w:t>
      </w:r>
      <w:r w:rsidRPr="00765001">
        <w:t xml:space="preserve"> and NO</w:t>
      </w:r>
      <w:r w:rsidRPr="00765001">
        <w:rPr>
          <w:vertAlign w:val="subscript"/>
        </w:rPr>
        <w:t>3</w:t>
      </w:r>
      <w:r w:rsidRPr="00765001">
        <w:t xml:space="preserve"> in a hierarchical sequence, where aerobic respiration and nitrification are assumed </w:t>
      </w:r>
      <w:r w:rsidRPr="00765001">
        <w:lastRenderedPageBreak/>
        <w:t>to occur simultaneously, whereas denitrification occurs only when the O</w:t>
      </w:r>
      <w:r w:rsidRPr="00765001">
        <w:rPr>
          <w:vertAlign w:val="subscript"/>
        </w:rPr>
        <w:t>2</w:t>
      </w:r>
      <w:r w:rsidRPr="00765001">
        <w:t xml:space="preserve"> concentration is below the limit value. O</w:t>
      </w:r>
      <w:r w:rsidRPr="00765001">
        <w:rPr>
          <w:vertAlign w:val="subscript"/>
        </w:rPr>
        <w:t>2</w:t>
      </w:r>
      <w:r w:rsidRPr="00765001">
        <w:t xml:space="preserve"> and NO</w:t>
      </w:r>
      <w:r w:rsidRPr="00765001">
        <w:rPr>
          <w:vertAlign w:val="subscript"/>
        </w:rPr>
        <w:t>3</w:t>
      </w:r>
      <w:r w:rsidRPr="00765001">
        <w:t xml:space="preserve"> are, respectively, the primary and secondary electron acceptors.</w:t>
      </w:r>
    </w:p>
    <w:p w14:paraId="5FF355FD" w14:textId="4412280C" w:rsidR="00AC1D24" w:rsidRDefault="00765001" w:rsidP="00845712">
      <w:pPr>
        <w:jc w:val="both"/>
      </w:pPr>
      <w:r w:rsidRPr="00765001">
        <w:t>The estimation of the reduction rate (</w:t>
      </w:r>
      <w:proofErr w:type="spellStart"/>
      <w:proofErr w:type="gramStart"/>
      <w:r w:rsidRPr="00765001">
        <w:rPr>
          <w:i/>
          <w:iCs/>
        </w:rPr>
        <w:t>r</w:t>
      </w:r>
      <w:r w:rsidRPr="00765001">
        <w:rPr>
          <w:i/>
          <w:iCs/>
          <w:vertAlign w:val="subscript"/>
        </w:rPr>
        <w:t>red,i</w:t>
      </w:r>
      <w:proofErr w:type="spellEnd"/>
      <w:proofErr w:type="gramEnd"/>
      <w:r w:rsidRPr="00765001">
        <w:t xml:space="preserve">) of electron acceptor </w:t>
      </w:r>
      <w:proofErr w:type="spellStart"/>
      <w:r w:rsidRPr="00765001">
        <w:rPr>
          <w:i/>
          <w:iCs/>
        </w:rPr>
        <w:t>i</w:t>
      </w:r>
      <w:proofErr w:type="spellEnd"/>
      <w:r w:rsidRPr="00765001">
        <w:t xml:space="preserve"> (</w:t>
      </w:r>
      <w:proofErr w:type="spellStart"/>
      <w:r w:rsidRPr="00765001">
        <w:rPr>
          <w:i/>
          <w:iCs/>
        </w:rPr>
        <w:t>i</w:t>
      </w:r>
      <w:proofErr w:type="spellEnd"/>
      <w:r w:rsidRPr="00765001">
        <w:t xml:space="preserve"> = 1 for O</w:t>
      </w:r>
      <w:r w:rsidRPr="00765001">
        <w:rPr>
          <w:vertAlign w:val="subscript"/>
        </w:rPr>
        <w:t>2</w:t>
      </w:r>
      <w:r w:rsidRPr="00765001">
        <w:t xml:space="preserve"> and</w:t>
      </w:r>
      <w:r w:rsidRPr="00765001">
        <w:rPr>
          <w:i/>
          <w:iCs/>
        </w:rPr>
        <w:t xml:space="preserve"> </w:t>
      </w:r>
      <w:proofErr w:type="spellStart"/>
      <w:r w:rsidRPr="00765001">
        <w:rPr>
          <w:i/>
          <w:iCs/>
        </w:rPr>
        <w:t>i</w:t>
      </w:r>
      <w:proofErr w:type="spellEnd"/>
      <w:r w:rsidRPr="00765001">
        <w:t xml:space="preserve"> = 2 for NO</w:t>
      </w:r>
      <w:r w:rsidRPr="00765001">
        <w:rPr>
          <w:vertAlign w:val="subscript"/>
        </w:rPr>
        <w:t>3</w:t>
      </w:r>
      <w:r w:rsidRPr="00765001">
        <w:t>) is as follows:</w:t>
      </w:r>
    </w:p>
    <w:p w14:paraId="07972848" w14:textId="77777777" w:rsidR="00845712" w:rsidRPr="00E46DF1" w:rsidRDefault="00845712" w:rsidP="00845712">
      <w:pPr>
        <w:jc w:val="both"/>
      </w:pPr>
    </w:p>
    <w:p w14:paraId="12C07A66" w14:textId="6A52C6C7" w:rsidR="00A94B4E" w:rsidRDefault="00BB762B" w:rsidP="00765001">
      <w:pPr>
        <w:pStyle w:val="AMDisplayEquation"/>
      </w:pPr>
      <w:r w:rsidRPr="00765001">
        <w:rPr>
          <w:position w:val="-22"/>
        </w:rPr>
        <w:object w:dxaOrig="1960" w:dyaOrig="547" w14:anchorId="1A1670E0">
          <v:shape id="_x0000_i1046" type="#_x0000_t75" style="width:98.25pt;height:27pt" o:ole="">
            <v:imagedata r:id="rId48" o:title=""/>
          </v:shape>
          <o:OLEObject Type="Embed" ProgID="Equation.AxMath" ShapeID="_x0000_i1046" DrawAspect="Content" ObjectID="_1726671569" r:id="rId49">
            <o:FieldCodes>\* MERGEFORMAT</o:FieldCodes>
          </o:OLEObject>
        </w:object>
      </w:r>
      <w:r w:rsidR="008F2102">
        <w:t xml:space="preserve">                                                                                                        </w:t>
      </w:r>
      <w:r w:rsidR="009A0D81">
        <w:t xml:space="preserve">  </w:t>
      </w:r>
      <w:r w:rsidR="008F2102">
        <w:t xml:space="preserve">                               </w:t>
      </w:r>
      <w:r w:rsidR="00765001">
        <w:fldChar w:fldCharType="begin"/>
      </w:r>
      <w:r w:rsidR="00765001">
        <w:instrText xml:space="preserve"> MACROBUTTON AMMPlaceRM \* MERGEFORMAT </w:instrText>
      </w:r>
      <w:r w:rsidR="00765001">
        <w:fldChar w:fldCharType="begin"/>
      </w:r>
      <w:r w:rsidR="00765001">
        <w:instrText xml:space="preserve"> SEQ AMEqn \h \* MERGEFORMAT </w:instrText>
      </w:r>
      <w:r w:rsidR="00765001">
        <w:fldChar w:fldCharType="end"/>
      </w:r>
      <w:r w:rsidR="00765001">
        <w:instrText>(</w:instrText>
      </w:r>
      <w:fldSimple w:instr=" SEQ AMEqn \c \* Arabic \* MERGEFORMAT ">
        <w:r>
          <w:rPr>
            <w:noProof/>
          </w:rPr>
          <w:instrText>8</w:instrText>
        </w:r>
      </w:fldSimple>
      <w:r w:rsidR="00765001">
        <w:instrText>)</w:instrText>
      </w:r>
      <w:r w:rsidR="00765001">
        <w:fldChar w:fldCharType="end"/>
      </w:r>
    </w:p>
    <w:p w14:paraId="57F5CC8E" w14:textId="77777777" w:rsidR="00845712" w:rsidRDefault="00845712" w:rsidP="001C0E5D">
      <w:pPr>
        <w:jc w:val="both"/>
      </w:pPr>
    </w:p>
    <w:p w14:paraId="14C7D180" w14:textId="4CF1166A" w:rsidR="00765001" w:rsidRDefault="00765001" w:rsidP="001C0E5D">
      <w:pPr>
        <w:jc w:val="both"/>
      </w:pPr>
      <w:r w:rsidRPr="00765001">
        <w:t xml:space="preserve">where </w:t>
      </w:r>
      <w:r w:rsidR="00BB762B" w:rsidRPr="00507171">
        <w:rPr>
          <w:position w:val="-10"/>
        </w:rPr>
        <w:object w:dxaOrig="468" w:dyaOrig="298" w14:anchorId="6AF1DC79">
          <v:shape id="_x0000_i1047" type="#_x0000_t75" style="width:23.25pt;height:15pt" o:ole="">
            <v:imagedata r:id="rId50" o:title=""/>
          </v:shape>
          <o:OLEObject Type="Embed" ProgID="Equation.AxMath" ShapeID="_x0000_i1047" DrawAspect="Content" ObjectID="_1726671570" r:id="rId51">
            <o:FieldCodes>\* MERGEFORMAT</o:FieldCodes>
          </o:OLEObject>
        </w:object>
      </w:r>
      <w:r w:rsidRPr="00765001">
        <w:t xml:space="preserve"> and </w:t>
      </w:r>
      <w:r w:rsidR="00BB762B" w:rsidRPr="00507171">
        <w:rPr>
          <w:position w:val="-10"/>
        </w:rPr>
        <w:object w:dxaOrig="230" w:dyaOrig="298" w14:anchorId="549635C6">
          <v:shape id="_x0000_i1048" type="#_x0000_t75" style="width:12pt;height:15pt" o:ole="">
            <v:imagedata r:id="rId52" o:title=""/>
          </v:shape>
          <o:OLEObject Type="Embed" ProgID="Equation.AxMath" ShapeID="_x0000_i1048" DrawAspect="Content" ObjectID="_1726671571" r:id="rId53">
            <o:FieldCodes>\* MERGEFORMAT</o:FieldCodes>
          </o:OLEObject>
        </w:object>
      </w:r>
      <w:r w:rsidRPr="00765001">
        <w:t xml:space="preserve"> are the moles of electrons created by the oxidation of per mole DOC and the reduction of per mole acceptor </w:t>
      </w:r>
      <w:proofErr w:type="spellStart"/>
      <w:r w:rsidRPr="00765001">
        <w:rPr>
          <w:i/>
          <w:iCs/>
        </w:rPr>
        <w:t>i</w:t>
      </w:r>
      <w:proofErr w:type="spellEnd"/>
      <w:r w:rsidRPr="00765001">
        <w:t xml:space="preserve"> respectively, and </w:t>
      </w:r>
      <w:r w:rsidR="00BB762B" w:rsidRPr="00507171">
        <w:rPr>
          <w:position w:val="-10"/>
        </w:rPr>
        <w:object w:dxaOrig="212" w:dyaOrig="298" w14:anchorId="2A06ECCB">
          <v:shape id="_x0000_i1049" type="#_x0000_t75" style="width:10.5pt;height:15pt" o:ole="">
            <v:imagedata r:id="rId54" o:title=""/>
          </v:shape>
          <o:OLEObject Type="Embed" ProgID="Equation.AxMath" ShapeID="_x0000_i1049" DrawAspect="Content" ObjectID="_1726671572" r:id="rId55">
            <o:FieldCodes>\* MERGEFORMAT</o:FieldCodes>
          </o:OLEObject>
        </w:object>
      </w:r>
      <w:r w:rsidRPr="00765001">
        <w:t xml:space="preserve"> is the fraction of electrons consumed by the </w:t>
      </w:r>
      <w:proofErr w:type="spellStart"/>
      <w:r w:rsidRPr="00765001">
        <w:rPr>
          <w:i/>
          <w:iCs/>
        </w:rPr>
        <w:t>i</w:t>
      </w:r>
      <w:r w:rsidRPr="00765001">
        <w:t>th</w:t>
      </w:r>
      <w:proofErr w:type="spellEnd"/>
      <w:r w:rsidRPr="00765001">
        <w:t xml:space="preserve"> reduction half-reduction, which is determined by a simplified Monod formation [21, 29]:</w:t>
      </w:r>
    </w:p>
    <w:p w14:paraId="6116D5BA" w14:textId="77777777" w:rsidR="00845712" w:rsidRDefault="00845712" w:rsidP="001C0E5D">
      <w:pPr>
        <w:jc w:val="both"/>
      </w:pPr>
    </w:p>
    <w:p w14:paraId="47864B29" w14:textId="180819C1" w:rsidR="00C87E99" w:rsidRDefault="00BB762B" w:rsidP="00C87E99">
      <w:pPr>
        <w:pStyle w:val="AMDisplayEquation"/>
      </w:pPr>
      <w:r w:rsidRPr="00C87E99">
        <w:rPr>
          <w:position w:val="-27"/>
        </w:rPr>
        <w:object w:dxaOrig="1664" w:dyaOrig="643" w14:anchorId="7558A3D0">
          <v:shape id="_x0000_i1050" type="#_x0000_t75" style="width:83.25pt;height:32.25pt" o:ole="">
            <v:imagedata r:id="rId56" o:title=""/>
          </v:shape>
          <o:OLEObject Type="Embed" ProgID="Equation.AxMath" ShapeID="_x0000_i1050" DrawAspect="Content" ObjectID="_1726671573" r:id="rId57">
            <o:FieldCodes>\* MERGEFORMAT</o:FieldCodes>
          </o:OLEObject>
        </w:object>
      </w:r>
      <w:r w:rsidR="009A0D81">
        <w:t xml:space="preserve">                                                                                                                                               </w:t>
      </w:r>
      <w:r w:rsidR="00C87E99">
        <w:fldChar w:fldCharType="begin"/>
      </w:r>
      <w:r w:rsidR="00C87E99">
        <w:instrText xml:space="preserve"> MACROBUTTON AMMPlaceRM \* MERGEFORMAT </w:instrText>
      </w:r>
      <w:r w:rsidR="00C87E99">
        <w:fldChar w:fldCharType="begin"/>
      </w:r>
      <w:r w:rsidR="00C87E99">
        <w:instrText xml:space="preserve"> SEQ AMEqn \h \* MERGEFORMAT </w:instrText>
      </w:r>
      <w:r w:rsidR="00C87E99">
        <w:fldChar w:fldCharType="end"/>
      </w:r>
      <w:r w:rsidR="00C87E99">
        <w:instrText>(</w:instrText>
      </w:r>
      <w:fldSimple w:instr=" SEQ AMEqn \c \* Arabic \* MERGEFORMAT ">
        <w:r>
          <w:rPr>
            <w:noProof/>
          </w:rPr>
          <w:instrText>9</w:instrText>
        </w:r>
      </w:fldSimple>
      <w:r w:rsidR="00C87E99">
        <w:instrText>)</w:instrText>
      </w:r>
      <w:r w:rsidR="00C87E99">
        <w:fldChar w:fldCharType="end"/>
      </w:r>
    </w:p>
    <w:p w14:paraId="4295152F" w14:textId="77777777" w:rsidR="00845712" w:rsidRDefault="00845712" w:rsidP="001C0E5D">
      <w:pPr>
        <w:jc w:val="both"/>
      </w:pPr>
    </w:p>
    <w:p w14:paraId="153C88EF" w14:textId="6C5A889C" w:rsidR="00C87E99" w:rsidRDefault="00C87E99" w:rsidP="001C0E5D">
      <w:pPr>
        <w:jc w:val="both"/>
      </w:pPr>
      <w:r w:rsidRPr="00C87E99">
        <w:t xml:space="preserve">where </w:t>
      </w:r>
      <w:r w:rsidR="00BB762B" w:rsidRPr="00507171">
        <w:rPr>
          <w:position w:val="-10"/>
        </w:rPr>
        <w:object w:dxaOrig="238" w:dyaOrig="298" w14:anchorId="46E82982">
          <v:shape id="_x0000_i1051" type="#_x0000_t75" style="width:12pt;height:15pt" o:ole="">
            <v:imagedata r:id="rId58" o:title=""/>
          </v:shape>
          <o:OLEObject Type="Embed" ProgID="Equation.AxMath" ShapeID="_x0000_i1051" DrawAspect="Content" ObjectID="_1726671574" r:id="rId59">
            <o:FieldCodes>\* MERGEFORMAT</o:FieldCodes>
          </o:OLEObject>
        </w:object>
      </w:r>
      <w:r w:rsidRPr="00C87E99">
        <w:t xml:space="preserve">  is zero. The term in parentheses accounts for the partial or total inhibition of electron acceptor </w:t>
      </w:r>
      <w:r w:rsidRPr="00C87E99">
        <w:rPr>
          <w:i/>
          <w:iCs/>
        </w:rPr>
        <w:t>i</w:t>
      </w:r>
      <w:r w:rsidRPr="00C87E99">
        <w:t xml:space="preserve">’s reduction rate due to the consumption of electron acceptor in prior reduction half-reactions. </w:t>
      </w:r>
      <w:r w:rsidR="00BB762B" w:rsidRPr="00507171">
        <w:rPr>
          <w:position w:val="-10"/>
        </w:rPr>
        <w:object w:dxaOrig="192" w:dyaOrig="298" w14:anchorId="59BB5395">
          <v:shape id="_x0000_i1052" type="#_x0000_t75" style="width:9.75pt;height:15pt" o:ole="">
            <v:imagedata r:id="rId60" o:title=""/>
          </v:shape>
          <o:OLEObject Type="Embed" ProgID="Equation.AxMath" ShapeID="_x0000_i1052" DrawAspect="Content" ObjectID="_1726671575" r:id="rId61">
            <o:FieldCodes>\* MERGEFORMAT</o:FieldCodes>
          </o:OLEObject>
        </w:object>
      </w:r>
      <w:r w:rsidRPr="00C87E99">
        <w:t xml:space="preserve"> is a parameter that accounts for the restriction imposed on </w:t>
      </w:r>
      <w:r w:rsidR="00BB762B" w:rsidRPr="00C87E99">
        <w:rPr>
          <w:position w:val="-10"/>
        </w:rPr>
        <w:object w:dxaOrig="219" w:dyaOrig="298" w14:anchorId="77E1B01A">
          <v:shape id="_x0000_i1053" type="#_x0000_t75" style="width:10.5pt;height:15pt" o:ole="">
            <v:imagedata r:id="rId21" o:title=""/>
          </v:shape>
          <o:OLEObject Type="Embed" ProgID="Equation.AxMath" ShapeID="_x0000_i1053" DrawAspect="Content" ObjectID="_1726671576" r:id="rId62">
            <o:FieldCodes>\* MERGEFORMAT</o:FieldCodes>
          </o:OLEObject>
        </w:object>
      </w:r>
      <w:r w:rsidRPr="00C87E99">
        <w:t xml:space="preserve"> by the availability of electron acceptor </w:t>
      </w:r>
      <w:proofErr w:type="spellStart"/>
      <w:r w:rsidRPr="00C87E99">
        <w:rPr>
          <w:i/>
          <w:iCs/>
        </w:rPr>
        <w:t>i</w:t>
      </w:r>
      <w:proofErr w:type="spellEnd"/>
      <w:r w:rsidRPr="00C87E99">
        <w:t xml:space="preserve">. At concentrations above the limit value, the decrease rate is independent of </w:t>
      </w:r>
      <w:r w:rsidR="00BB762B" w:rsidRPr="00C87E99">
        <w:rPr>
          <w:position w:val="-10"/>
        </w:rPr>
        <w:object w:dxaOrig="216" w:dyaOrig="298" w14:anchorId="7C1E425F">
          <v:shape id="_x0000_i1054" type="#_x0000_t75" style="width:10.5pt;height:15pt" o:ole="">
            <v:imagedata r:id="rId23" o:title=""/>
          </v:shape>
          <o:OLEObject Type="Embed" ProgID="Equation.AxMath" ShapeID="_x0000_i1054" DrawAspect="Content" ObjectID="_1726671577" r:id="rId63">
            <o:FieldCodes>\* MERGEFORMAT</o:FieldCodes>
          </o:OLEObject>
        </w:object>
      </w:r>
      <w:r w:rsidRPr="00C87E99">
        <w:t xml:space="preserve">, but linearly proportional to </w:t>
      </w:r>
      <w:r w:rsidR="00BB762B" w:rsidRPr="00C87E99">
        <w:rPr>
          <w:position w:val="-10"/>
        </w:rPr>
        <w:object w:dxaOrig="216" w:dyaOrig="298" w14:anchorId="3D5406D1">
          <v:shape id="_x0000_i1055" type="#_x0000_t75" style="width:10.5pt;height:15pt" o:ole="">
            <v:imagedata r:id="rId23" o:title=""/>
          </v:shape>
          <o:OLEObject Type="Embed" ProgID="Equation.AxMath" ShapeID="_x0000_i1055" DrawAspect="Content" ObjectID="_1726671578" r:id="rId64">
            <o:FieldCodes>\* MERGEFORMAT</o:FieldCodes>
          </o:OLEObject>
        </w:object>
      </w:r>
      <w:r w:rsidRPr="00C87E99">
        <w:t xml:space="preserve"> at lower concentrations:</w:t>
      </w:r>
    </w:p>
    <w:p w14:paraId="6837AF06" w14:textId="77777777" w:rsidR="00845712" w:rsidRDefault="00845712" w:rsidP="001C0E5D">
      <w:pPr>
        <w:jc w:val="both"/>
      </w:pPr>
    </w:p>
    <w:p w14:paraId="73CDA66E" w14:textId="0E5C60EE" w:rsidR="00C87E99" w:rsidRDefault="00BB762B" w:rsidP="001C0E5D">
      <w:pPr>
        <w:pStyle w:val="AMDisplayEquation"/>
      </w:pPr>
      <w:r w:rsidRPr="001C0E5D">
        <w:rPr>
          <w:position w:val="-44"/>
        </w:rPr>
        <w:object w:dxaOrig="2087" w:dyaOrig="996" w14:anchorId="1D9C2D42">
          <v:shape id="_x0000_i1056" type="#_x0000_t75" style="width:104.25pt;height:50.25pt" o:ole="">
            <v:imagedata r:id="rId65" o:title=""/>
          </v:shape>
          <o:OLEObject Type="Embed" ProgID="Equation.AxMath" ShapeID="_x0000_i1056" DrawAspect="Content" ObjectID="_1726671579" r:id="rId66">
            <o:FieldCodes>\* MERGEFORMAT</o:FieldCodes>
          </o:OLEObject>
        </w:object>
      </w:r>
      <w:r w:rsidR="009A0D81">
        <w:t xml:space="preserve">                                                                                                                                     </w:t>
      </w:r>
      <w:r w:rsidR="001C0E5D">
        <w:fldChar w:fldCharType="begin"/>
      </w:r>
      <w:r w:rsidR="001C0E5D">
        <w:instrText xml:space="preserve"> MACROBUTTON AMMPlaceRM \* MERGEFORMAT </w:instrText>
      </w:r>
      <w:r w:rsidR="001C0E5D">
        <w:fldChar w:fldCharType="begin"/>
      </w:r>
      <w:r w:rsidR="001C0E5D">
        <w:instrText xml:space="preserve"> SEQ AMEqn \h \* MERGEFORMAT </w:instrText>
      </w:r>
      <w:r w:rsidR="001C0E5D">
        <w:fldChar w:fldCharType="end"/>
      </w:r>
      <w:r w:rsidR="001C0E5D">
        <w:instrText>(</w:instrText>
      </w:r>
      <w:fldSimple w:instr=" SEQ AMEqn \c \* Arabic \* MERGEFORMAT ">
        <w:r>
          <w:rPr>
            <w:noProof/>
          </w:rPr>
          <w:instrText>10</w:instrText>
        </w:r>
      </w:fldSimple>
      <w:r w:rsidR="001C0E5D">
        <w:instrText>)</w:instrText>
      </w:r>
      <w:r w:rsidR="001C0E5D">
        <w:fldChar w:fldCharType="end"/>
      </w:r>
    </w:p>
    <w:p w14:paraId="7B2FB035" w14:textId="77777777" w:rsidR="00845712" w:rsidRDefault="00845712" w:rsidP="00845712">
      <w:pPr>
        <w:spacing w:line="260" w:lineRule="exact"/>
        <w:jc w:val="both"/>
      </w:pPr>
    </w:p>
    <w:p w14:paraId="5CA07C4C" w14:textId="6F87E5CD" w:rsidR="001C0E5D" w:rsidRDefault="001C0E5D" w:rsidP="003A506C">
      <w:pPr>
        <w:spacing w:line="260" w:lineRule="exact"/>
        <w:ind w:firstLineChars="213" w:firstLine="426"/>
        <w:jc w:val="both"/>
      </w:pPr>
      <w:r w:rsidRPr="001E18D0">
        <w:t>For the nitrification rate, a bimolecular expression of the second order is utilized:</w:t>
      </w:r>
    </w:p>
    <w:p w14:paraId="4B87CFC0" w14:textId="77777777" w:rsidR="00845712" w:rsidRPr="001E18D0" w:rsidRDefault="00845712" w:rsidP="00845712">
      <w:pPr>
        <w:spacing w:line="260" w:lineRule="exact"/>
        <w:jc w:val="both"/>
      </w:pPr>
    </w:p>
    <w:p w14:paraId="6EBF0AE1" w14:textId="591F0176" w:rsidR="001C0E5D" w:rsidRDefault="00BB762B" w:rsidP="001C0E5D">
      <w:pPr>
        <w:pStyle w:val="AMDisplayEquation"/>
      </w:pPr>
      <w:r w:rsidRPr="001C0E5D">
        <w:rPr>
          <w:position w:val="-11"/>
        </w:rPr>
        <w:object w:dxaOrig="1759" w:dyaOrig="309" w14:anchorId="26BCBE3D">
          <v:shape id="_x0000_i1057" type="#_x0000_t75" style="width:87.75pt;height:15.75pt" o:ole="">
            <v:imagedata r:id="rId67" o:title=""/>
          </v:shape>
          <o:OLEObject Type="Embed" ProgID="Equation.AxMath" ShapeID="_x0000_i1057" DrawAspect="Content" ObjectID="_1726671580" r:id="rId68">
            <o:FieldCodes>\* MERGEFORMAT</o:FieldCodes>
          </o:OLEObject>
        </w:object>
      </w:r>
      <w:r w:rsidR="009A0D81">
        <w:t xml:space="preserve">                                                                                                                                           </w:t>
      </w:r>
      <w:r w:rsidR="001C0E5D">
        <w:fldChar w:fldCharType="begin"/>
      </w:r>
      <w:r w:rsidR="001C0E5D">
        <w:instrText xml:space="preserve"> MACROBUTTON AMMPlaceRM \* MERGEFORMAT </w:instrText>
      </w:r>
      <w:r w:rsidR="001C0E5D">
        <w:fldChar w:fldCharType="begin"/>
      </w:r>
      <w:r w:rsidR="001C0E5D">
        <w:instrText xml:space="preserve"> SEQ AMEqn \h \* MERGEFORMAT </w:instrText>
      </w:r>
      <w:r w:rsidR="001C0E5D">
        <w:fldChar w:fldCharType="end"/>
      </w:r>
      <w:r w:rsidR="001C0E5D">
        <w:instrText>(</w:instrText>
      </w:r>
      <w:fldSimple w:instr=" SEQ AMEqn \c \* Arabic \* MERGEFORMAT ">
        <w:r>
          <w:rPr>
            <w:noProof/>
          </w:rPr>
          <w:instrText>11</w:instrText>
        </w:r>
      </w:fldSimple>
      <w:r w:rsidR="001C0E5D">
        <w:instrText>)</w:instrText>
      </w:r>
      <w:r w:rsidR="001C0E5D">
        <w:fldChar w:fldCharType="end"/>
      </w:r>
    </w:p>
    <w:p w14:paraId="28FA8069" w14:textId="77777777" w:rsidR="00845712" w:rsidRDefault="00845712" w:rsidP="001C0E5D">
      <w:pPr>
        <w:jc w:val="both"/>
      </w:pPr>
    </w:p>
    <w:p w14:paraId="2028C7A1" w14:textId="2D1CF7B7" w:rsidR="001C0E5D" w:rsidRDefault="001C0E5D" w:rsidP="001C0E5D">
      <w:pPr>
        <w:jc w:val="both"/>
      </w:pPr>
      <w:r w:rsidRPr="001C0E5D">
        <w:t xml:space="preserve">where </w:t>
      </w:r>
      <w:r w:rsidR="00BB762B" w:rsidRPr="00507171">
        <w:rPr>
          <w:position w:val="-10"/>
        </w:rPr>
        <w:object w:dxaOrig="221" w:dyaOrig="298" w14:anchorId="0D8ED130">
          <v:shape id="_x0000_i1058" type="#_x0000_t75" style="width:11.25pt;height:15pt" o:ole="">
            <v:imagedata r:id="rId69" o:title=""/>
          </v:shape>
          <o:OLEObject Type="Embed" ProgID="Equation.AxMath" ShapeID="_x0000_i1058" DrawAspect="Content" ObjectID="_1726671581" r:id="rId70">
            <o:FieldCodes>\* MERGEFORMAT</o:FieldCodes>
          </o:OLEObject>
        </w:object>
      </w:r>
      <w:r w:rsidRPr="001C0E5D">
        <w:t xml:space="preserve"> is the nitrification rate coefficient of second order. Consequently, the reaction rates of DOC, DO, NO</w:t>
      </w:r>
      <w:r w:rsidRPr="001C0E5D">
        <w:rPr>
          <w:vertAlign w:val="subscript"/>
        </w:rPr>
        <w:t>3</w:t>
      </w:r>
      <w:r w:rsidRPr="001C0E5D">
        <w:rPr>
          <w:vertAlign w:val="superscript"/>
        </w:rPr>
        <w:t>-</w:t>
      </w:r>
      <w:r w:rsidRPr="001C0E5D">
        <w:t>, and NH</w:t>
      </w:r>
      <w:r w:rsidRPr="001C0E5D">
        <w:rPr>
          <w:vertAlign w:val="subscript"/>
        </w:rPr>
        <w:t>4</w:t>
      </w:r>
      <w:r w:rsidRPr="001C0E5D">
        <w:rPr>
          <w:vertAlign w:val="superscript"/>
        </w:rPr>
        <w:t>+</w:t>
      </w:r>
      <w:r w:rsidRPr="001C0E5D">
        <w:t xml:space="preserve"> are determined:</w:t>
      </w:r>
    </w:p>
    <w:p w14:paraId="4B57EA77" w14:textId="77777777" w:rsidR="00845712" w:rsidRDefault="00845712" w:rsidP="001C0E5D">
      <w:pPr>
        <w:jc w:val="both"/>
      </w:pPr>
    </w:p>
    <w:p w14:paraId="2A7D4A00" w14:textId="619FFF4F" w:rsidR="00AC1D24" w:rsidRDefault="00BB762B" w:rsidP="00D95D06">
      <w:pPr>
        <w:pStyle w:val="AMDisplayEquation"/>
        <w:adjustRightInd w:val="0"/>
        <w:snapToGrid w:val="0"/>
        <w:textAlignment w:val="center"/>
      </w:pPr>
      <w:r w:rsidRPr="005C6CB2">
        <w:rPr>
          <w:position w:val="-22"/>
        </w:rPr>
        <w:object w:dxaOrig="2713" w:dyaOrig="2331" w14:anchorId="57424B20">
          <v:shape id="_x0000_i1059" type="#_x0000_t75" style="width:135.75pt;height:116.25pt" o:ole="">
            <v:imagedata r:id="rId71" o:title=""/>
          </v:shape>
          <o:OLEObject Type="Embed" ProgID="Equation.AxMath" ShapeID="_x0000_i1059" DrawAspect="Content" ObjectID="_1726671582" r:id="rId72">
            <o:FieldCodes>\* MERGEFORMAT</o:FieldCodes>
          </o:OLEObject>
        </w:object>
      </w:r>
      <w:r w:rsidR="00D95D06">
        <w:t xml:space="preserve">                                                                                                                        </w:t>
      </w:r>
      <w:r w:rsidR="005C6CB2">
        <w:fldChar w:fldCharType="begin"/>
      </w:r>
      <w:r w:rsidR="005C6CB2">
        <w:instrText xml:space="preserve"> MACROBUTTON AMMPlaceRM \* MERGEFORMAT </w:instrText>
      </w:r>
      <w:r w:rsidR="005C6CB2">
        <w:fldChar w:fldCharType="begin"/>
      </w:r>
      <w:r w:rsidR="005C6CB2">
        <w:instrText xml:space="preserve"> SEQ AMEqn \h \* MERGEFORMAT </w:instrText>
      </w:r>
      <w:r w:rsidR="005C6CB2">
        <w:fldChar w:fldCharType="end"/>
      </w:r>
      <w:r w:rsidR="005C6CB2">
        <w:instrText>(</w:instrText>
      </w:r>
      <w:fldSimple w:instr=" SEQ AMEqn \c \* Arabic \* MERGEFORMAT ">
        <w:r>
          <w:rPr>
            <w:noProof/>
          </w:rPr>
          <w:instrText>12</w:instrText>
        </w:r>
      </w:fldSimple>
      <w:r w:rsidR="005C6CB2">
        <w:instrText>)</w:instrText>
      </w:r>
      <w:r w:rsidR="005C6CB2">
        <w:fldChar w:fldCharType="end"/>
      </w:r>
    </w:p>
    <w:p w14:paraId="2B30F79B" w14:textId="77777777" w:rsidR="00845712" w:rsidRPr="00845712" w:rsidRDefault="00845712" w:rsidP="00845712"/>
    <w:p w14:paraId="3D56BB1F" w14:textId="43B70574" w:rsidR="005A5F54" w:rsidRDefault="005A5F54" w:rsidP="005A5F54">
      <w:pPr>
        <w:pStyle w:val="1"/>
      </w:pPr>
      <w:r w:rsidRPr="005A5F54">
        <w:t>RESULTS AND DISCUSSION</w:t>
      </w:r>
    </w:p>
    <w:p w14:paraId="40B9574F" w14:textId="1EC741C4" w:rsidR="005A5F54" w:rsidRPr="00E33F5A" w:rsidRDefault="005A5F54" w:rsidP="005A5F54">
      <w:pPr>
        <w:pStyle w:val="2"/>
      </w:pPr>
      <w:r w:rsidRPr="00E33F5A">
        <w:t>Spatial distribution of DOC, O2, and NO3 in the streambed</w:t>
      </w:r>
    </w:p>
    <w:p w14:paraId="5F590749" w14:textId="627096BA" w:rsidR="005A5F54" w:rsidRPr="005A5F54" w:rsidRDefault="00AF0242" w:rsidP="005A5F54">
      <w:pPr>
        <w:pStyle w:val="spara"/>
      </w:pPr>
      <w:r w:rsidRPr="00AF0242">
        <w:t>Total influx along the SWI (</w:t>
      </w:r>
      <w:r w:rsidR="00BB762B" w:rsidRPr="00BB762B">
        <w:rPr>
          <w:position w:val="-12"/>
        </w:rPr>
        <w:object w:dxaOrig="212" w:dyaOrig="298" w14:anchorId="0BB9DAFD">
          <v:shape id="_x0000_i1060" type="#_x0000_t75" style="width:12.75pt;height:18pt" o:ole="">
            <v:imagedata r:id="rId54" o:title=""/>
          </v:shape>
          <o:OLEObject Type="Embed" ProgID="Equation.AxMath" ShapeID="_x0000_i1060" DrawAspect="Content" ObjectID="_1726671583" r:id="rId73">
            <o:FieldCodes>\* MERGEFORMAT</o:FieldCodes>
          </o:OLEObject>
        </w:object>
      </w:r>
      <w:r w:rsidRPr="00AF0242">
        <w:t xml:space="preserve">), spatially summed biogeochemical reaction rate </w:t>
      </w:r>
      <w:proofErr w:type="gramStart"/>
      <w:r w:rsidRPr="00AF0242">
        <w:t>( )</w:t>
      </w:r>
      <w:proofErr w:type="gramEnd"/>
      <w:r w:rsidRPr="00AF0242">
        <w:t xml:space="preserve"> and nitrate removal efficiency (</w:t>
      </w:r>
      <w:r w:rsidR="00BB762B" w:rsidRPr="00BB762B">
        <w:rPr>
          <w:position w:val="-12"/>
        </w:rPr>
        <w:object w:dxaOrig="313" w:dyaOrig="298" w14:anchorId="29896A9E">
          <v:shape id="_x0000_i1061" type="#_x0000_t75" style="width:18.75pt;height:18pt" o:ole="">
            <v:imagedata r:id="rId74" o:title=""/>
          </v:shape>
          <o:OLEObject Type="Embed" ProgID="Equation.AxMath" ShapeID="_x0000_i1061" DrawAspect="Content" ObjectID="_1726671584" r:id="rId75">
            <o:FieldCodes>\* MERGEFORMAT</o:FieldCodes>
          </o:OLEObject>
        </w:object>
      </w:r>
      <w:r w:rsidRPr="00AF0242">
        <w:t>) are used to quantify the effect of bank slope and ambient groundwater discharge on nitrogen cycling in the bedform.</w:t>
      </w:r>
    </w:p>
    <w:p w14:paraId="0AD913C3" w14:textId="17C656AF" w:rsidR="00AF0242" w:rsidRDefault="00AF0242" w:rsidP="003A506C">
      <w:pPr>
        <w:spacing w:line="260" w:lineRule="exact"/>
        <w:ind w:firstLineChars="213" w:firstLine="426"/>
      </w:pPr>
      <w:r w:rsidRPr="001E18D0">
        <w:t>The total influx along the SWI (</w:t>
      </w:r>
      <w:r w:rsidR="00BB762B" w:rsidRPr="00BB762B">
        <w:rPr>
          <w:position w:val="-12"/>
        </w:rPr>
        <w:object w:dxaOrig="212" w:dyaOrig="298" w14:anchorId="338B877A">
          <v:shape id="_x0000_i1062" type="#_x0000_t75" style="width:12.75pt;height:18pt" o:ole="">
            <v:imagedata r:id="rId54" o:title=""/>
          </v:shape>
          <o:OLEObject Type="Embed" ProgID="Equation.AxMath" ShapeID="_x0000_i1062" DrawAspect="Content" ObjectID="_1726671585" r:id="rId76">
            <o:FieldCodes>\* MERGEFORMAT</o:FieldCodes>
          </o:OLEObject>
        </w:object>
      </w:r>
      <w:r w:rsidRPr="001E18D0">
        <w:t>) are:</w:t>
      </w:r>
    </w:p>
    <w:p w14:paraId="2EF82BBA" w14:textId="77777777" w:rsidR="00DE4A3D" w:rsidRPr="001E18D0" w:rsidRDefault="00DE4A3D" w:rsidP="00DE4A3D">
      <w:pPr>
        <w:spacing w:line="260" w:lineRule="exact"/>
      </w:pPr>
    </w:p>
    <w:p w14:paraId="595915AB" w14:textId="7640A938" w:rsidR="00AC1D24" w:rsidRDefault="00BB762B" w:rsidP="00AF0242">
      <w:pPr>
        <w:pStyle w:val="AMDisplayEquation"/>
      </w:pPr>
      <w:r w:rsidRPr="00AF0242">
        <w:rPr>
          <w:position w:val="-24"/>
        </w:rPr>
        <w:object w:dxaOrig="1524" w:dyaOrig="564" w14:anchorId="2729B105">
          <v:shape id="_x0000_i1063" type="#_x0000_t75" style="width:76.5pt;height:27.75pt" o:ole="">
            <v:imagedata r:id="rId77" o:title=""/>
          </v:shape>
          <o:OLEObject Type="Embed" ProgID="Equation.AxMath" ShapeID="_x0000_i1063" DrawAspect="Content" ObjectID="_1726671586" r:id="rId78">
            <o:FieldCodes>\* MERGEFORMAT</o:FieldCodes>
          </o:OLEObject>
        </w:object>
      </w:r>
      <w:r w:rsidR="0009387C">
        <w:t xml:space="preserve">                                                                                                                                                </w:t>
      </w:r>
      <w:r w:rsidR="00AF0242">
        <w:fldChar w:fldCharType="begin"/>
      </w:r>
      <w:r w:rsidR="00AF0242">
        <w:instrText xml:space="preserve"> MACROBUTTON AMMPlaceRM \* MERGEFORMAT </w:instrText>
      </w:r>
      <w:r w:rsidR="00AF0242">
        <w:fldChar w:fldCharType="begin"/>
      </w:r>
      <w:r w:rsidR="00AF0242">
        <w:instrText xml:space="preserve"> SEQ AMEqn \h \* MERGEFORMAT </w:instrText>
      </w:r>
      <w:r w:rsidR="00AF0242">
        <w:fldChar w:fldCharType="end"/>
      </w:r>
      <w:r w:rsidR="00AF0242">
        <w:instrText>(</w:instrText>
      </w:r>
      <w:fldSimple w:instr=" SEQ AMEqn \c \* Arabic \* MERGEFORMAT ">
        <w:r>
          <w:rPr>
            <w:noProof/>
          </w:rPr>
          <w:instrText>13</w:instrText>
        </w:r>
      </w:fldSimple>
      <w:r w:rsidR="00AF0242">
        <w:instrText>)</w:instrText>
      </w:r>
      <w:r w:rsidR="00AF0242">
        <w:fldChar w:fldCharType="end"/>
      </w:r>
    </w:p>
    <w:p w14:paraId="2EA3AC19" w14:textId="77777777" w:rsidR="00DE4A3D" w:rsidRPr="00DE4A3D" w:rsidRDefault="00DE4A3D" w:rsidP="00DE4A3D"/>
    <w:p w14:paraId="049575F0" w14:textId="7B33F301" w:rsidR="00AF0242" w:rsidRPr="001E18D0" w:rsidRDefault="00AF0242" w:rsidP="00AF0242">
      <w:pPr>
        <w:spacing w:line="260" w:lineRule="exact"/>
        <w:jc w:val="both"/>
      </w:pPr>
      <w:r w:rsidRPr="001E18D0">
        <w:lastRenderedPageBreak/>
        <w:t xml:space="preserve">where </w:t>
      </w:r>
      <w:proofErr w:type="spellStart"/>
      <w:r w:rsidRPr="001E18D0">
        <w:rPr>
          <w:i/>
          <w:iCs/>
        </w:rPr>
        <w:t>i</w:t>
      </w:r>
      <w:proofErr w:type="spellEnd"/>
      <w:r w:rsidRPr="001E18D0">
        <w:t xml:space="preserve"> = DOC, O</w:t>
      </w:r>
      <w:r w:rsidRPr="001E18D0">
        <w:rPr>
          <w:vertAlign w:val="subscript"/>
        </w:rPr>
        <w:t>2</w:t>
      </w:r>
      <w:r w:rsidRPr="001E18D0">
        <w:t>, NO</w:t>
      </w:r>
      <w:r w:rsidRPr="001E18D0">
        <w:rPr>
          <w:vertAlign w:val="subscript"/>
        </w:rPr>
        <w:t>3</w:t>
      </w:r>
      <w:r w:rsidRPr="001E18D0">
        <w:rPr>
          <w:vertAlign w:val="superscript"/>
        </w:rPr>
        <w:t>−</w:t>
      </w:r>
      <w:r w:rsidRPr="001E18D0">
        <w:t>, NH</w:t>
      </w:r>
      <w:r w:rsidRPr="001E18D0">
        <w:rPr>
          <w:vertAlign w:val="subscript"/>
        </w:rPr>
        <w:t>4</w:t>
      </w:r>
      <w:r w:rsidRPr="001E18D0">
        <w:rPr>
          <w:vertAlign w:val="superscript"/>
        </w:rPr>
        <w:t>+</w:t>
      </w:r>
      <w:r w:rsidRPr="001E18D0">
        <w:t xml:space="preserve">; B is the unit length of the streambed, and </w:t>
      </w:r>
      <w:r w:rsidR="00BB762B" w:rsidRPr="00BB762B">
        <w:rPr>
          <w:position w:val="-12"/>
        </w:rPr>
        <w:object w:dxaOrig="249" w:dyaOrig="298" w14:anchorId="3A7A6585">
          <v:shape id="_x0000_i1064" type="#_x0000_t75" style="width:15pt;height:18pt" o:ole="">
            <v:imagedata r:id="rId79" o:title=""/>
          </v:shape>
          <o:OLEObject Type="Embed" ProgID="Equation.AxMath" ShapeID="_x0000_i1064" DrawAspect="Content" ObjectID="_1726671587" r:id="rId80">
            <o:FieldCodes>\* MERGEFORMAT</o:FieldCodes>
          </o:OLEObject>
        </w:object>
      </w:r>
      <w:r w:rsidRPr="001E18D0">
        <w:t xml:space="preserve"> is the inward Darcy flux, respectively.</w:t>
      </w:r>
    </w:p>
    <w:p w14:paraId="20DC45B4" w14:textId="580E0CAE" w:rsidR="00AF0242" w:rsidRPr="00902AC5" w:rsidRDefault="00AF0242" w:rsidP="003A506C">
      <w:pPr>
        <w:spacing w:line="260" w:lineRule="exact"/>
        <w:ind w:firstLineChars="213" w:firstLine="426"/>
        <w:jc w:val="both"/>
      </w:pPr>
      <w:r w:rsidRPr="00E33F5A">
        <w:t>Figure 3 illustrates the distribution</w:t>
      </w:r>
      <w:r>
        <w:t xml:space="preserve"> and the influx</w:t>
      </w:r>
      <w:r w:rsidRPr="00E33F5A">
        <w:t xml:space="preserve"> of DOC, O</w:t>
      </w:r>
      <w:r w:rsidRPr="00E33F5A">
        <w:rPr>
          <w:vertAlign w:val="subscript"/>
        </w:rPr>
        <w:t>2</w:t>
      </w:r>
      <w:r w:rsidRPr="00E33F5A">
        <w:t xml:space="preserve"> and NO</w:t>
      </w:r>
      <w:r w:rsidRPr="00E33F5A">
        <w:rPr>
          <w:vertAlign w:val="subscript"/>
        </w:rPr>
        <w:t>3</w:t>
      </w:r>
      <w:r w:rsidRPr="00E33F5A">
        <w:t xml:space="preserve">. Under neutral conditions, DOC is mainly distributed in the streambed below the </w:t>
      </w:r>
      <w:r>
        <w:t>main channel-floodplain interface</w:t>
      </w:r>
      <w:r w:rsidRPr="00E33F5A">
        <w:t xml:space="preserve"> and the </w:t>
      </w:r>
      <w:r>
        <w:t>floodplain</w:t>
      </w:r>
      <w:r w:rsidRPr="00E33F5A">
        <w:t>. O</w:t>
      </w:r>
      <w:r w:rsidRPr="00E33F5A">
        <w:rPr>
          <w:vertAlign w:val="subscript"/>
        </w:rPr>
        <w:t>2</w:t>
      </w:r>
      <w:r w:rsidRPr="00E33F5A">
        <w:t xml:space="preserve"> is consumed by aerobic respiration in the shallow region of DOC distribution. NO</w:t>
      </w:r>
      <w:r w:rsidRPr="00E33F5A">
        <w:rPr>
          <w:vertAlign w:val="subscript"/>
        </w:rPr>
        <w:t>3</w:t>
      </w:r>
      <w:r w:rsidRPr="00E33F5A">
        <w:t xml:space="preserve"> is rapidly consumed by denitrification below the anoxic- aerobic boundary.</w:t>
      </w:r>
      <w:r>
        <w:t xml:space="preserve"> </w:t>
      </w:r>
      <w:r w:rsidRPr="003F0C88">
        <w:t xml:space="preserve">The main </w:t>
      </w:r>
      <w:r>
        <w:t>channel</w:t>
      </w:r>
      <w:r w:rsidRPr="003F0C88">
        <w:t xml:space="preserve"> </w:t>
      </w:r>
      <w:r>
        <w:t xml:space="preserve">bank </w:t>
      </w:r>
      <w:r w:rsidRPr="003F0C88">
        <w:t>slope angle of 90°, all solute entry fluxes and the solute distribution area are larger than other angles.</w:t>
      </w:r>
      <w:r>
        <w:t xml:space="preserve"> </w:t>
      </w:r>
      <w:r w:rsidRPr="00B87D11">
        <w:t>The solute flux and the amount of solute in the groundwater medium increase</w:t>
      </w:r>
      <w:r>
        <w:t>d</w:t>
      </w:r>
      <w:r w:rsidRPr="00B87D11">
        <w:t xml:space="preserve"> </w:t>
      </w:r>
      <w:r>
        <w:t>as the angle increased</w:t>
      </w:r>
      <w:r w:rsidRPr="00B87D11">
        <w:t>.</w:t>
      </w:r>
      <w:r w:rsidRPr="00B87D11">
        <w:rPr>
          <w:rFonts w:hint="eastAsia"/>
        </w:rPr>
        <w:t xml:space="preserve"> </w:t>
      </w:r>
      <w:r w:rsidRPr="00902AC5">
        <w:t>As the ambient groundwater flow decrease</w:t>
      </w:r>
      <w:r>
        <w:t>d</w:t>
      </w:r>
      <w:r w:rsidRPr="00902AC5">
        <w:t>, the solute flux increase</w:t>
      </w:r>
      <w:r>
        <w:t>d</w:t>
      </w:r>
      <w:r w:rsidRPr="00902AC5">
        <w:t xml:space="preserve"> further. However, all the curves of the relationship between solute flux and ambient groundwater flow have inflection points: 90° at -0.1 m/d (slight </w:t>
      </w:r>
      <w:r w:rsidRPr="00902AC5">
        <w:rPr>
          <w:rFonts w:hint="eastAsia"/>
        </w:rPr>
        <w:t>losing</w:t>
      </w:r>
      <w:r w:rsidRPr="00902AC5">
        <w:t xml:space="preserve"> </w:t>
      </w:r>
      <w:r w:rsidRPr="00902AC5">
        <w:rPr>
          <w:rFonts w:hint="eastAsia"/>
        </w:rPr>
        <w:t>condition</w:t>
      </w:r>
      <w:r w:rsidRPr="00902AC5">
        <w:t xml:space="preserve">) and 30°-60° at 0.1 m/d (slight gaining </w:t>
      </w:r>
      <w:r w:rsidRPr="00902AC5">
        <w:rPr>
          <w:rFonts w:hint="eastAsia"/>
        </w:rPr>
        <w:t>condition</w:t>
      </w:r>
      <w:r w:rsidRPr="00902AC5">
        <w:t>).</w:t>
      </w:r>
    </w:p>
    <w:p w14:paraId="1ED46B1A" w14:textId="2CF90D25" w:rsidR="00AF0242" w:rsidRPr="007B1FAA" w:rsidRDefault="00AF0242" w:rsidP="00AF0242">
      <w:pPr>
        <w:pStyle w:val="2"/>
      </w:pPr>
      <w:r w:rsidRPr="007B1FAA">
        <w:t>Reaction rates in the streambed</w:t>
      </w:r>
    </w:p>
    <w:p w14:paraId="312A7890" w14:textId="379A2E7F" w:rsidR="00BB762B" w:rsidRDefault="00BB762B" w:rsidP="00C55A17">
      <w:pPr>
        <w:spacing w:line="260" w:lineRule="exact"/>
        <w:jc w:val="both"/>
      </w:pPr>
      <w:r w:rsidRPr="001E18D0">
        <w:t xml:space="preserve">The spatially summed reaction rates (e.g., respiration </w:t>
      </w:r>
      <w:r w:rsidRPr="00BB762B">
        <w:rPr>
          <w:position w:val="-12"/>
        </w:rPr>
        <w:object w:dxaOrig="366" w:dyaOrig="298" w14:anchorId="4DB77F96">
          <v:shape id="_x0000_i1065" type="#_x0000_t75" style="width:21.75pt;height:18pt" o:ole="">
            <v:imagedata r:id="rId81" o:title=""/>
          </v:shape>
          <o:OLEObject Type="Embed" ProgID="Equation.AxMath" ShapeID="_x0000_i1065" DrawAspect="Content" ObjectID="_1726671588" r:id="rId82">
            <o:FieldCodes>\* MERGEFORMAT</o:FieldCodes>
          </o:OLEObject>
        </w:object>
      </w:r>
      <w:r w:rsidRPr="001E18D0">
        <w:t xml:space="preserve">, nitrification </w:t>
      </w:r>
      <w:r w:rsidRPr="00BB762B">
        <w:rPr>
          <w:position w:val="-12"/>
        </w:rPr>
        <w:object w:dxaOrig="338" w:dyaOrig="298" w14:anchorId="13A68C9D">
          <v:shape id="_x0000_i1066" type="#_x0000_t75" style="width:20.25pt;height:18pt" o:ole="">
            <v:imagedata r:id="rId83" o:title=""/>
          </v:shape>
          <o:OLEObject Type="Embed" ProgID="Equation.AxMath" ShapeID="_x0000_i1066" DrawAspect="Content" ObjectID="_1726671589" r:id="rId84">
            <o:FieldCodes>\* MERGEFORMAT</o:FieldCodes>
          </o:OLEObject>
        </w:object>
      </w:r>
      <w:r w:rsidRPr="001E18D0">
        <w:t xml:space="preserve">, denitrification </w:t>
      </w:r>
      <w:r w:rsidRPr="00BB762B">
        <w:rPr>
          <w:position w:val="-12"/>
        </w:rPr>
        <w:object w:dxaOrig="380" w:dyaOrig="298" w14:anchorId="776D24D2">
          <v:shape id="_x0000_i1067" type="#_x0000_t75" style="width:23.25pt;height:18pt" o:ole="">
            <v:imagedata r:id="rId85" o:title=""/>
          </v:shape>
          <o:OLEObject Type="Embed" ProgID="Equation.AxMath" ShapeID="_x0000_i1067" DrawAspect="Content" ObjectID="_1726671590" r:id="rId86">
            <o:FieldCodes>\* MERGEFORMAT</o:FieldCodes>
          </o:OLEObject>
        </w:object>
      </w:r>
      <w:r w:rsidRPr="001E18D0">
        <w:t xml:space="preserve"> and net denitrification rates </w:t>
      </w:r>
      <w:r w:rsidRPr="00507171">
        <w:rPr>
          <w:position w:val="-10"/>
        </w:rPr>
        <w:object w:dxaOrig="466" w:dyaOrig="298" w14:anchorId="7F3B117F">
          <v:shape id="_x0000_i1068" type="#_x0000_t75" style="width:23.25pt;height:15pt" o:ole="">
            <v:imagedata r:id="rId87" o:title=""/>
          </v:shape>
          <o:OLEObject Type="Embed" ProgID="Equation.AxMath" ShapeID="_x0000_i1068" DrawAspect="Content" ObjectID="_1726671591" r:id="rId88">
            <o:FieldCodes>\* MERGEFORMAT</o:FieldCodes>
          </o:OLEObject>
        </w:object>
      </w:r>
      <w:r w:rsidRPr="001E18D0">
        <w:t xml:space="preserve">) </w:t>
      </w:r>
      <w:r>
        <w:t>were</w:t>
      </w:r>
      <w:r w:rsidRPr="001E18D0">
        <w:t xml:space="preserve"> calculated by integrating the distributed reaction rates over the streambed domain (A) of the HZ:</w:t>
      </w:r>
    </w:p>
    <w:p w14:paraId="30F68A57" w14:textId="77777777" w:rsidR="00DE4A3D" w:rsidRPr="001E18D0" w:rsidRDefault="00DE4A3D" w:rsidP="00BB762B">
      <w:pPr>
        <w:spacing w:line="260" w:lineRule="exact"/>
      </w:pPr>
    </w:p>
    <w:p w14:paraId="526E1D6B" w14:textId="60968B24" w:rsidR="00AF0242" w:rsidRDefault="00BB762B" w:rsidP="0009387C">
      <w:pPr>
        <w:pStyle w:val="AMDisplayEquation"/>
        <w:textAlignment w:val="center"/>
      </w:pPr>
      <w:r w:rsidRPr="00BB762B">
        <w:rPr>
          <w:position w:val="-24"/>
        </w:rPr>
        <w:object w:dxaOrig="2133" w:dyaOrig="2374" w14:anchorId="3A8B11D1">
          <v:shape id="_x0000_i1069" type="#_x0000_t75" style="width:106.5pt;height:118.5pt" o:ole="">
            <v:imagedata r:id="rId89" o:title=""/>
          </v:shape>
          <o:OLEObject Type="Embed" ProgID="Equation.AxMath" ShapeID="_x0000_i1069" DrawAspect="Content" ObjectID="_1726671592" r:id="rId90">
            <o:FieldCodes>\* MERGEFORMAT</o:FieldCodes>
          </o:OLEObject>
        </w:object>
      </w:r>
      <w:r w:rsidR="0009387C">
        <w:t xml:space="preserve">                                                                                                                                    </w:t>
      </w:r>
      <w:r>
        <w:fldChar w:fldCharType="begin"/>
      </w:r>
      <w:r>
        <w:instrText xml:space="preserve"> MACROBUTTON AMMPlaceRM \* MERGEFORMAT </w:instrText>
      </w:r>
      <w:r>
        <w:fldChar w:fldCharType="begin"/>
      </w:r>
      <w:r>
        <w:instrText xml:space="preserve"> SEQ AMEqn \h \* MERGEFORMAT </w:instrText>
      </w:r>
      <w:r>
        <w:fldChar w:fldCharType="end"/>
      </w:r>
      <w:r>
        <w:instrText>(</w:instrText>
      </w:r>
      <w:fldSimple w:instr=" SEQ AMEqn \c \* Arabic \* MERGEFORMAT ">
        <w:r>
          <w:rPr>
            <w:noProof/>
          </w:rPr>
          <w:instrText>14</w:instrText>
        </w:r>
      </w:fldSimple>
      <w:r>
        <w:instrText>)</w:instrText>
      </w:r>
      <w:r>
        <w:fldChar w:fldCharType="end"/>
      </w:r>
    </w:p>
    <w:p w14:paraId="351C2A10" w14:textId="77777777" w:rsidR="00DE4A3D" w:rsidRDefault="00DE4A3D" w:rsidP="00DE4A3D">
      <w:pPr>
        <w:spacing w:line="260" w:lineRule="exact"/>
      </w:pPr>
    </w:p>
    <w:p w14:paraId="0BDFAEEB" w14:textId="7D25FB07" w:rsidR="00BB762B" w:rsidRDefault="00BB762B" w:rsidP="003A506C">
      <w:pPr>
        <w:tabs>
          <w:tab w:val="left" w:pos="284"/>
        </w:tabs>
        <w:spacing w:line="260" w:lineRule="exact"/>
        <w:ind w:firstLineChars="213" w:firstLine="426"/>
        <w:jc w:val="both"/>
      </w:pPr>
      <w:r w:rsidRPr="00EC1A4A">
        <w:t>Figure 4 shows (a) aerobic respiration, (b) nitrification, (c) denitrification</w:t>
      </w:r>
      <w:r>
        <w:t>,</w:t>
      </w:r>
      <w:r w:rsidRPr="00EC1A4A">
        <w:t xml:space="preserve"> and </w:t>
      </w:r>
      <w:r>
        <w:t xml:space="preserve">(d) </w:t>
      </w:r>
      <w:r w:rsidRPr="00EC1A4A">
        <w:t xml:space="preserve">net denitrification rate </w:t>
      </w:r>
      <w:r>
        <w:t>under</w:t>
      </w:r>
      <w:r w:rsidRPr="00EC1A4A">
        <w:t xml:space="preserve"> different ambient groundwater flows</w:t>
      </w:r>
      <w:r>
        <w:t xml:space="preserve">. </w:t>
      </w:r>
      <w:r w:rsidRPr="000B75C9">
        <w:t>The intensity of aerobic respiration and nitrification decrease</w:t>
      </w:r>
      <w:r>
        <w:t>s</w:t>
      </w:r>
      <w:r w:rsidRPr="000B75C9">
        <w:t xml:space="preserve"> with increasing ambient groundwater flow. At an ambient groundwater flow of 0.25 m/d, aerobic respiration and denitrification reach zero at 30-60°, while 90° d</w:t>
      </w:r>
      <w:r>
        <w:t>o</w:t>
      </w:r>
      <w:r w:rsidRPr="000B75C9">
        <w:t xml:space="preserve"> not reach zero </w:t>
      </w:r>
      <w:r>
        <w:t xml:space="preserve">even under </w:t>
      </w:r>
      <w:proofErr w:type="spellStart"/>
      <w:r w:rsidRPr="000B75C9">
        <w:rPr>
          <w:i/>
          <w:iCs/>
        </w:rPr>
        <w:t>q</w:t>
      </w:r>
      <w:r w:rsidRPr="000B75C9">
        <w:rPr>
          <w:i/>
          <w:iCs/>
          <w:vertAlign w:val="subscript"/>
        </w:rPr>
        <w:t>bot</w:t>
      </w:r>
      <w:proofErr w:type="spellEnd"/>
      <w:r>
        <w:t xml:space="preserve"> =</w:t>
      </w:r>
      <w:r w:rsidRPr="000B75C9">
        <w:t xml:space="preserve"> 1 m/d.</w:t>
      </w:r>
      <w:r>
        <w:t xml:space="preserve"> </w:t>
      </w:r>
      <w:r w:rsidRPr="00E10AC5">
        <w:t>Ambient groundwater flow is less than 0.65 m/d, and aerobic respiration intensity does not increase linearly with decreasing flow due to solute outflow from the bottom boundary.</w:t>
      </w:r>
    </w:p>
    <w:p w14:paraId="1F462439" w14:textId="14867EA8" w:rsidR="00BB762B" w:rsidRDefault="00BB762B" w:rsidP="003A506C">
      <w:pPr>
        <w:spacing w:line="260" w:lineRule="exact"/>
        <w:ind w:firstLineChars="213" w:firstLine="426"/>
        <w:jc w:val="both"/>
      </w:pPr>
      <w:r w:rsidRPr="00FA039B">
        <w:t xml:space="preserve">The ambient groundwater flow is 0.55 m/d, and the intensity of denitrification and net denitrification reaches its peak. With a further decrease in ambient groundwater flow (&lt;-0.9 m/d), the </w:t>
      </w:r>
      <w:r>
        <w:t>hyporheic</w:t>
      </w:r>
      <w:r w:rsidRPr="00FA039B">
        <w:t xml:space="preserve"> zone change</w:t>
      </w:r>
      <w:r>
        <w:t>d</w:t>
      </w:r>
      <w:r w:rsidRPr="00FA039B">
        <w:t xml:space="preserve"> from a sink of NO</w:t>
      </w:r>
      <w:r w:rsidRPr="00FA039B">
        <w:rPr>
          <w:vertAlign w:val="subscript"/>
        </w:rPr>
        <w:t>3</w:t>
      </w:r>
      <w:r w:rsidRPr="00FA039B">
        <w:t xml:space="preserve"> to a source of NO</w:t>
      </w:r>
      <w:r w:rsidRPr="00FA039B">
        <w:rPr>
          <w:vertAlign w:val="subscript"/>
        </w:rPr>
        <w:t>3</w:t>
      </w:r>
      <w:r w:rsidRPr="00FA039B">
        <w:t>, at which point nitrification dominate</w:t>
      </w:r>
      <w:r>
        <w:t>d</w:t>
      </w:r>
      <w:r w:rsidRPr="00FA039B">
        <w:t>.</w:t>
      </w:r>
    </w:p>
    <w:p w14:paraId="4CB86442" w14:textId="04A129C4" w:rsidR="00BB762B" w:rsidRDefault="00BB762B" w:rsidP="00BB762B">
      <w:pPr>
        <w:pStyle w:val="2"/>
      </w:pPr>
      <w:r>
        <w:t>Nitrate removal efficiency of hyporheic zone</w:t>
      </w:r>
    </w:p>
    <w:p w14:paraId="4642A8D9" w14:textId="04C1185F" w:rsidR="00BB762B" w:rsidRDefault="00BB762B" w:rsidP="00BB762B">
      <w:pPr>
        <w:spacing w:line="260" w:lineRule="exact"/>
      </w:pPr>
      <w:r w:rsidRPr="001E18D0">
        <w:t>The temporal NO</w:t>
      </w:r>
      <w:r w:rsidRPr="001E18D0">
        <w:rPr>
          <w:vertAlign w:val="subscript"/>
        </w:rPr>
        <w:t>3</w:t>
      </w:r>
      <w:r w:rsidRPr="001E18D0">
        <w:rPr>
          <w:vertAlign w:val="superscript"/>
        </w:rPr>
        <w:t>−</w:t>
      </w:r>
      <w:r w:rsidRPr="001E18D0">
        <w:t xml:space="preserve"> removal efficiency (</w:t>
      </w:r>
      <w:r w:rsidRPr="00BB762B">
        <w:rPr>
          <w:position w:val="-12"/>
        </w:rPr>
        <w:object w:dxaOrig="313" w:dyaOrig="298" w14:anchorId="5EAD4A47">
          <v:shape id="_x0000_i1070" type="#_x0000_t75" style="width:18.75pt;height:18pt" o:ole="">
            <v:imagedata r:id="rId74" o:title=""/>
          </v:shape>
          <o:OLEObject Type="Embed" ProgID="Equation.AxMath" ShapeID="_x0000_i1070" DrawAspect="Content" ObjectID="_1726671593" r:id="rId91">
            <o:FieldCodes>\* MERGEFORMAT</o:FieldCodes>
          </o:OLEObject>
        </w:object>
      </w:r>
      <w:r w:rsidRPr="001E18D0">
        <w:t xml:space="preserve">) </w:t>
      </w:r>
      <w:r>
        <w:t xml:space="preserve">can be represented using </w:t>
      </w:r>
      <w:r w:rsidRPr="001E18D0">
        <w:t>a dimensionless number:</w:t>
      </w:r>
    </w:p>
    <w:p w14:paraId="7ED0B3BF" w14:textId="77777777" w:rsidR="00DE4A3D" w:rsidRDefault="00DE4A3D" w:rsidP="00BB762B">
      <w:pPr>
        <w:spacing w:line="260" w:lineRule="exact"/>
      </w:pPr>
    </w:p>
    <w:p w14:paraId="70A35688" w14:textId="04ABA91D" w:rsidR="00BB762B" w:rsidRDefault="00BB762B" w:rsidP="00BB762B">
      <w:pPr>
        <w:pStyle w:val="AMDisplayEquation"/>
      </w:pPr>
      <w:r w:rsidRPr="00BB762B">
        <w:rPr>
          <w:position w:val="-48"/>
        </w:rPr>
        <w:object w:dxaOrig="1993" w:dyaOrig="1077" w14:anchorId="09F42030">
          <v:shape id="_x0000_i1071" type="#_x0000_t75" style="width:99.75pt;height:54pt" o:ole="">
            <v:imagedata r:id="rId92" o:title=""/>
          </v:shape>
          <o:OLEObject Type="Embed" ProgID="Equation.AxMath" ShapeID="_x0000_i1071" DrawAspect="Content" ObjectID="_1726671594" r:id="rId93">
            <o:FieldCodes>\* MERGEFORMAT</o:FieldCodes>
          </o:OLEObject>
        </w:object>
      </w:r>
      <w:r w:rsidR="00D73BD5">
        <w:t xml:space="preserve">                                                                                                                                      </w:t>
      </w:r>
      <w:r>
        <w:fldChar w:fldCharType="begin"/>
      </w:r>
      <w:r>
        <w:instrText xml:space="preserve"> MACROBUTTON AMMPlaceRM \* MERGEFORMAT </w:instrText>
      </w:r>
      <w:r>
        <w:fldChar w:fldCharType="begin"/>
      </w:r>
      <w:r>
        <w:instrText xml:space="preserve"> SEQ AMEqn \h \* MERGEFORMAT </w:instrText>
      </w:r>
      <w:r>
        <w:fldChar w:fldCharType="end"/>
      </w:r>
      <w:r>
        <w:instrText>(</w:instrText>
      </w:r>
      <w:fldSimple w:instr=" SEQ AMEqn \c \* Arabic \* MERGEFORMAT ">
        <w:r>
          <w:rPr>
            <w:noProof/>
          </w:rPr>
          <w:instrText>15</w:instrText>
        </w:r>
      </w:fldSimple>
      <w:r>
        <w:instrText>)</w:instrText>
      </w:r>
      <w:r>
        <w:fldChar w:fldCharType="end"/>
      </w:r>
    </w:p>
    <w:p w14:paraId="54DE9EBE" w14:textId="77777777" w:rsidR="00DE4A3D" w:rsidRDefault="00DE4A3D" w:rsidP="00DE4A3D">
      <w:pPr>
        <w:spacing w:line="260" w:lineRule="exact"/>
      </w:pPr>
    </w:p>
    <w:p w14:paraId="2C99E73A" w14:textId="514EBE12" w:rsidR="00BB762B" w:rsidRPr="003A506C" w:rsidRDefault="00BB762B" w:rsidP="003A506C">
      <w:pPr>
        <w:spacing w:line="260" w:lineRule="exact"/>
        <w:ind w:firstLineChars="213" w:firstLine="426"/>
        <w:jc w:val="both"/>
        <w:rPr>
          <w:szCs w:val="18"/>
        </w:rPr>
      </w:pPr>
      <w:r w:rsidRPr="003A506C">
        <w:rPr>
          <w:szCs w:val="18"/>
        </w:rPr>
        <w:t xml:space="preserve">The removal efficiency increased as </w:t>
      </w:r>
      <w:proofErr w:type="spellStart"/>
      <w:r w:rsidRPr="003A506C">
        <w:rPr>
          <w:i/>
          <w:iCs/>
          <w:szCs w:val="18"/>
        </w:rPr>
        <w:t>q</w:t>
      </w:r>
      <w:r w:rsidRPr="003A506C">
        <w:rPr>
          <w:i/>
          <w:iCs/>
          <w:szCs w:val="18"/>
          <w:vertAlign w:val="subscript"/>
        </w:rPr>
        <w:t>bot</w:t>
      </w:r>
      <w:proofErr w:type="spellEnd"/>
      <w:r w:rsidRPr="003A506C">
        <w:rPr>
          <w:szCs w:val="18"/>
        </w:rPr>
        <w:t xml:space="preserve"> increased at </w:t>
      </w:r>
      <w:proofErr w:type="spellStart"/>
      <w:r w:rsidRPr="003A506C">
        <w:rPr>
          <w:i/>
          <w:iCs/>
          <w:szCs w:val="18"/>
        </w:rPr>
        <w:t>q</w:t>
      </w:r>
      <w:r w:rsidRPr="003A506C">
        <w:rPr>
          <w:i/>
          <w:iCs/>
          <w:szCs w:val="18"/>
          <w:vertAlign w:val="subscript"/>
        </w:rPr>
        <w:t>bot</w:t>
      </w:r>
      <w:proofErr w:type="spellEnd"/>
      <w:r w:rsidRPr="003A506C">
        <w:rPr>
          <w:szCs w:val="18"/>
        </w:rPr>
        <w:t xml:space="preserve"> = -1m/d ~ -0.5 m/d, and the higher the bank slope angle, the lower the removal efficiency (Figure 5). The highest removal efficiency was reached 0.8 at 30° with </w:t>
      </w:r>
      <w:proofErr w:type="spellStart"/>
      <w:r w:rsidRPr="003A506C">
        <w:rPr>
          <w:i/>
          <w:iCs/>
          <w:szCs w:val="18"/>
        </w:rPr>
        <w:t>q</w:t>
      </w:r>
      <w:r w:rsidRPr="003A506C">
        <w:rPr>
          <w:i/>
          <w:iCs/>
          <w:szCs w:val="18"/>
          <w:vertAlign w:val="subscript"/>
        </w:rPr>
        <w:t>bot</w:t>
      </w:r>
      <w:proofErr w:type="spellEnd"/>
      <w:r w:rsidRPr="003A506C">
        <w:rPr>
          <w:szCs w:val="18"/>
        </w:rPr>
        <w:t xml:space="preserve"> = -0.5 m/d. Although the main </w:t>
      </w:r>
      <w:r w:rsidRPr="003A506C">
        <w:rPr>
          <w:rFonts w:hint="eastAsia"/>
          <w:szCs w:val="18"/>
        </w:rPr>
        <w:t>channel</w:t>
      </w:r>
      <w:r w:rsidRPr="003A506C">
        <w:rPr>
          <w:szCs w:val="18"/>
        </w:rPr>
        <w:t xml:space="preserve"> bank slope angle of 90° would have the maximum solute influx, the reaction strength limited the removal of these NO</w:t>
      </w:r>
      <w:r w:rsidRPr="003A506C">
        <w:rPr>
          <w:szCs w:val="18"/>
          <w:vertAlign w:val="subscript"/>
        </w:rPr>
        <w:t>3</w:t>
      </w:r>
      <w:r w:rsidRPr="003A506C">
        <w:rPr>
          <w:szCs w:val="18"/>
        </w:rPr>
        <w:t>, and most of the solute left the model before being able to react. The hyporheic zone became a source of NO</w:t>
      </w:r>
      <w:r w:rsidRPr="003A506C">
        <w:rPr>
          <w:szCs w:val="18"/>
          <w:vertAlign w:val="subscript"/>
        </w:rPr>
        <w:t>3</w:t>
      </w:r>
      <w:r w:rsidRPr="003A506C">
        <w:rPr>
          <w:szCs w:val="18"/>
        </w:rPr>
        <w:t xml:space="preserve"> at ambient groundwater flows lower than -0.9 m/d, which was due to the lack of sufficient anoxic zones in the model. While the model domain seemed to limit the reactions, biogeochemical reactions could hardly occur in deeper areas.</w:t>
      </w:r>
    </w:p>
    <w:p w14:paraId="3185A458" w14:textId="77777777" w:rsidR="009A5380" w:rsidRPr="009A5380" w:rsidRDefault="009A5380" w:rsidP="009A5380">
      <w:pPr>
        <w:pStyle w:val="1"/>
      </w:pPr>
      <w:r w:rsidRPr="009A5380">
        <w:lastRenderedPageBreak/>
        <w:t>CONCLUSIONS</w:t>
      </w:r>
    </w:p>
    <w:p w14:paraId="666C9BFE" w14:textId="20B3ABBE" w:rsidR="009A5380" w:rsidRPr="009A5380" w:rsidRDefault="009A5380" w:rsidP="00F845E3">
      <w:pPr>
        <w:jc w:val="both"/>
      </w:pPr>
      <w:r w:rsidRPr="009A5380">
        <w:t>In this paper, a 3D hydrodynamic model coupled to a 2D groundwater and biogeochemical model was applied to investigate the effect of bank slope angle and ambient groundwater discharge. A denitrification zone was found below the floodplain for bank slope angle = 90°, being elongated in the horizontal direction with smaller angles. Furthermore, a lower angle of the bank slope decreased N entering the streambed and increased nitrogen removal. A decrease in ambient groundwater affected negatively both aerobic respiration and denitrification reactions. The model becomes a source of NO</w:t>
      </w:r>
      <w:r w:rsidRPr="00F845E3">
        <w:rPr>
          <w:vertAlign w:val="subscript"/>
        </w:rPr>
        <w:t>3</w:t>
      </w:r>
      <w:r w:rsidRPr="009A5380">
        <w:t xml:space="preserve"> at ambient groundwater flows less than -0.9 m/d.</w:t>
      </w:r>
    </w:p>
    <w:p w14:paraId="03DAABC0" w14:textId="76FBA0EA" w:rsidR="009A5380" w:rsidRDefault="009A5380" w:rsidP="009A5380"/>
    <w:p w14:paraId="6FCCB8E6" w14:textId="77777777" w:rsidR="00F845E3" w:rsidRPr="001E18D0" w:rsidRDefault="00F845E3" w:rsidP="00F845E3">
      <w:pPr>
        <w:spacing w:line="260" w:lineRule="exact"/>
        <w:jc w:val="both"/>
        <w:rPr>
          <w:rFonts w:eastAsia="等线"/>
        </w:rPr>
      </w:pPr>
      <w:r w:rsidRPr="001E18D0">
        <w:rPr>
          <w:rFonts w:eastAsia="等线"/>
          <w:b/>
          <w:bCs/>
        </w:rPr>
        <w:t xml:space="preserve">Funding Statement </w:t>
      </w:r>
      <w:r w:rsidRPr="001E18D0">
        <w:rPr>
          <w:rFonts w:eastAsia="等线"/>
        </w:rPr>
        <w:t>This research was funded by the National Natural Science Foundation of China (Grant number U2240209), the Natural Science Foundation of Jiangsu Province (Grant number BK20191299), the Water Conservancy Science and Technology Project of Jiangsu Province (Grant number 2021055), the Belt and Road Special Foundation of the State Key Laboratory of Hydrology-Water Resources and Hydraulic Engineering (Grant number 521013152), and the 111 Project (Grant number B17015).</w:t>
      </w:r>
    </w:p>
    <w:p w14:paraId="5C2AC4CC" w14:textId="77777777" w:rsidR="00F845E3" w:rsidRPr="009A5380" w:rsidRDefault="00F845E3" w:rsidP="009A5380"/>
    <w:p w14:paraId="49A11FE8" w14:textId="7B7CAF91" w:rsidR="00AC1D24" w:rsidRDefault="00AC1D24">
      <w:pPr>
        <w:pStyle w:val="NonumHead-1"/>
        <w:keepNext w:val="0"/>
        <w:spacing w:before="0" w:after="0" w:line="260" w:lineRule="exact"/>
      </w:pPr>
      <w:r w:rsidRPr="00E46DF1">
        <w:t>REFERENCES</w:t>
      </w:r>
    </w:p>
    <w:p w14:paraId="796857FE" w14:textId="77777777" w:rsidR="00DE4A3D" w:rsidRPr="00DE4A3D" w:rsidRDefault="00DE4A3D" w:rsidP="00DE4A3D"/>
    <w:p w14:paraId="1BFEC805" w14:textId="6955E204" w:rsidR="007B25EF" w:rsidRDefault="007B25EF" w:rsidP="00C370A7">
      <w:pPr>
        <w:pStyle w:val="references"/>
        <w:spacing w:before="0" w:after="0" w:line="260" w:lineRule="exact"/>
        <w:ind w:left="397" w:hanging="397"/>
      </w:pPr>
      <w:r w:rsidRPr="00C370A7">
        <w:rPr>
          <w:sz w:val="20"/>
          <w:lang w:eastAsia="ko-KR"/>
        </w:rPr>
        <w:t>[1]</w:t>
      </w:r>
      <w:r w:rsidR="00C370A7">
        <w:rPr>
          <w:rFonts w:eastAsiaTheme="minorEastAsia" w:hint="eastAsia"/>
          <w:sz w:val="20"/>
          <w:lang w:eastAsia="zh-CN"/>
        </w:rPr>
        <w:tab/>
      </w:r>
      <w:proofErr w:type="spellStart"/>
      <w:r w:rsidRPr="00C370A7">
        <w:rPr>
          <w:sz w:val="20"/>
          <w:lang w:eastAsia="ko-KR"/>
        </w:rPr>
        <w:t>Rowiński</w:t>
      </w:r>
      <w:proofErr w:type="spellEnd"/>
      <w:r w:rsidRPr="00C370A7">
        <w:rPr>
          <w:sz w:val="20"/>
          <w:lang w:eastAsia="ko-KR"/>
        </w:rPr>
        <w:t>, P. and A. Radecki-Pawlik, Rivers–Physical, Fluvial and Environmental Processes. 2015: Springer.</w:t>
      </w:r>
    </w:p>
    <w:p w14:paraId="184C2184" w14:textId="37CCD190" w:rsidR="007B25EF" w:rsidRPr="00C370A7" w:rsidRDefault="007B25EF" w:rsidP="00C370A7">
      <w:pPr>
        <w:pStyle w:val="references"/>
        <w:spacing w:before="0" w:after="0" w:line="260" w:lineRule="exact"/>
        <w:ind w:left="397" w:hanging="397"/>
        <w:rPr>
          <w:sz w:val="20"/>
          <w:lang w:eastAsia="ko-KR"/>
        </w:rPr>
      </w:pPr>
      <w:r w:rsidRPr="00C370A7">
        <w:rPr>
          <w:sz w:val="20"/>
          <w:lang w:eastAsia="ko-KR"/>
        </w:rPr>
        <w:t>[2]</w:t>
      </w:r>
      <w:r w:rsidR="00C370A7">
        <w:rPr>
          <w:rFonts w:eastAsiaTheme="minorEastAsia" w:hint="eastAsia"/>
          <w:sz w:val="20"/>
          <w:lang w:eastAsia="zh-CN"/>
        </w:rPr>
        <w:tab/>
      </w:r>
      <w:r w:rsidRPr="00C370A7">
        <w:rPr>
          <w:sz w:val="20"/>
          <w:lang w:eastAsia="ko-KR"/>
        </w:rPr>
        <w:t>Lai, C.J., C.L. Liu, and Y.Z. Lin, Experiments on flood-wave propagation in compound channel. Journal of Hydraulic Engineering, 2000. 126(7): p. 492-501.</w:t>
      </w:r>
    </w:p>
    <w:p w14:paraId="3BAE732F" w14:textId="4CD58E9C" w:rsidR="007B25EF" w:rsidRPr="00C370A7" w:rsidRDefault="007B25EF" w:rsidP="00C370A7">
      <w:pPr>
        <w:pStyle w:val="references"/>
        <w:spacing w:before="0" w:after="0" w:line="260" w:lineRule="exact"/>
        <w:ind w:left="397" w:hanging="397"/>
        <w:rPr>
          <w:sz w:val="20"/>
          <w:lang w:eastAsia="ko-KR"/>
        </w:rPr>
      </w:pPr>
      <w:r w:rsidRPr="00C370A7">
        <w:rPr>
          <w:sz w:val="20"/>
          <w:lang w:eastAsia="ko-KR"/>
        </w:rPr>
        <w:t>[3]</w:t>
      </w:r>
      <w:r w:rsidR="00C370A7">
        <w:rPr>
          <w:rFonts w:eastAsiaTheme="minorEastAsia" w:hint="eastAsia"/>
          <w:sz w:val="20"/>
          <w:lang w:eastAsia="zh-CN"/>
        </w:rPr>
        <w:tab/>
      </w:r>
      <w:proofErr w:type="spellStart"/>
      <w:r w:rsidRPr="00C370A7">
        <w:rPr>
          <w:sz w:val="20"/>
          <w:lang w:eastAsia="ko-KR"/>
        </w:rPr>
        <w:t>Rowiński</w:t>
      </w:r>
      <w:proofErr w:type="spellEnd"/>
      <w:r w:rsidRPr="00C370A7">
        <w:rPr>
          <w:sz w:val="20"/>
          <w:lang w:eastAsia="ko-KR"/>
        </w:rPr>
        <w:t>, P.M., et al., How vegetation can aid in coping with river management challenges: A brief review. Ecohydrology &amp; Hydrobiology, 2018. 18(4): p. 345-354.</w:t>
      </w:r>
    </w:p>
    <w:p w14:paraId="2E85AEB0" w14:textId="0E6ED45C" w:rsidR="007B25EF" w:rsidRPr="00C370A7" w:rsidRDefault="007B25EF" w:rsidP="00C370A7">
      <w:pPr>
        <w:pStyle w:val="references"/>
        <w:spacing w:before="0" w:after="0" w:line="260" w:lineRule="exact"/>
        <w:ind w:left="397" w:hanging="397"/>
        <w:rPr>
          <w:sz w:val="20"/>
          <w:lang w:eastAsia="ko-KR"/>
        </w:rPr>
      </w:pPr>
      <w:r w:rsidRPr="00C370A7">
        <w:rPr>
          <w:sz w:val="20"/>
          <w:lang w:eastAsia="ko-KR"/>
        </w:rPr>
        <w:t>[4]</w:t>
      </w:r>
      <w:r w:rsidR="00C370A7">
        <w:rPr>
          <w:rFonts w:eastAsiaTheme="minorEastAsia" w:hint="eastAsia"/>
          <w:sz w:val="20"/>
          <w:lang w:eastAsia="zh-CN"/>
        </w:rPr>
        <w:tab/>
      </w:r>
      <w:r w:rsidRPr="00C370A7">
        <w:rPr>
          <w:sz w:val="20"/>
          <w:lang w:eastAsia="ko-KR"/>
        </w:rPr>
        <w:t>Knight, D.W., et al., Practical channel hydraulics: Roughness, conveyance and afflux. 2009: CRC Press.</w:t>
      </w:r>
    </w:p>
    <w:p w14:paraId="598B5CE5" w14:textId="1E390900" w:rsidR="007B25EF" w:rsidRPr="00C370A7" w:rsidRDefault="00C370A7" w:rsidP="00C370A7">
      <w:pPr>
        <w:pStyle w:val="references"/>
        <w:spacing w:before="0" w:after="0" w:line="260" w:lineRule="exact"/>
        <w:ind w:left="397" w:hanging="397"/>
        <w:rPr>
          <w:sz w:val="20"/>
          <w:lang w:eastAsia="ko-KR"/>
        </w:rPr>
      </w:pPr>
      <w:r>
        <w:rPr>
          <w:sz w:val="20"/>
          <w:lang w:eastAsia="ko-KR"/>
        </w:rPr>
        <w:t>[5]</w:t>
      </w:r>
      <w:r>
        <w:rPr>
          <w:rFonts w:eastAsiaTheme="minorEastAsia" w:hint="eastAsia"/>
          <w:sz w:val="20"/>
          <w:lang w:eastAsia="zh-CN"/>
        </w:rPr>
        <w:tab/>
      </w:r>
      <w:r w:rsidR="007B25EF" w:rsidRPr="00C370A7">
        <w:rPr>
          <w:sz w:val="20"/>
          <w:lang w:eastAsia="ko-KR"/>
        </w:rPr>
        <w:t>Tonina, D., Surface water and streambed sediment interaction: The hyporheic exchange, in Fluid mechanics of environmental interfaces, 2nd ed., C. Gualtieri, Mihailović, D.T., Editor. 2012, CRC Press/Balkema: Leiden, The Netherlands. p. 255-294.</w:t>
      </w:r>
    </w:p>
    <w:p w14:paraId="5277978E" w14:textId="7B6F5733" w:rsidR="007B25EF" w:rsidRPr="00C370A7" w:rsidRDefault="00C370A7" w:rsidP="00C370A7">
      <w:pPr>
        <w:pStyle w:val="references"/>
        <w:spacing w:before="0" w:after="0" w:line="260" w:lineRule="exact"/>
        <w:ind w:left="397" w:hanging="397"/>
        <w:rPr>
          <w:sz w:val="20"/>
          <w:lang w:eastAsia="ko-KR"/>
        </w:rPr>
      </w:pPr>
      <w:r>
        <w:rPr>
          <w:sz w:val="20"/>
          <w:lang w:eastAsia="ko-KR"/>
        </w:rPr>
        <w:t>[6]</w:t>
      </w:r>
      <w:r>
        <w:rPr>
          <w:rFonts w:eastAsiaTheme="minorEastAsia" w:hint="eastAsia"/>
          <w:sz w:val="20"/>
          <w:lang w:eastAsia="zh-CN"/>
        </w:rPr>
        <w:tab/>
      </w:r>
      <w:r w:rsidR="007B25EF" w:rsidRPr="00C370A7">
        <w:rPr>
          <w:sz w:val="20"/>
          <w:lang w:eastAsia="ko-KR"/>
        </w:rPr>
        <w:t xml:space="preserve">Gualtieri, C., Bedform-induced hyporheic exchange: impact of porous medium permeability, in Proceedings of the </w:t>
      </w:r>
      <w:proofErr w:type="spellStart"/>
      <w:r w:rsidR="007B25EF" w:rsidRPr="00C370A7">
        <w:rPr>
          <w:sz w:val="20"/>
          <w:lang w:eastAsia="ko-KR"/>
        </w:rPr>
        <w:t>iEMSs</w:t>
      </w:r>
      <w:proofErr w:type="spellEnd"/>
      <w:r w:rsidR="007B25EF" w:rsidRPr="00C370A7">
        <w:rPr>
          <w:sz w:val="20"/>
          <w:lang w:eastAsia="ko-KR"/>
        </w:rPr>
        <w:t xml:space="preserve"> Seventh Biennial Meeting: International Congress on Environmental Modelling and Software (</w:t>
      </w:r>
      <w:proofErr w:type="spellStart"/>
      <w:r w:rsidR="007B25EF" w:rsidRPr="00C370A7">
        <w:rPr>
          <w:sz w:val="20"/>
          <w:lang w:eastAsia="ko-KR"/>
        </w:rPr>
        <w:t>iEMSs</w:t>
      </w:r>
      <w:proofErr w:type="spellEnd"/>
      <w:r w:rsidR="007B25EF" w:rsidRPr="00C370A7">
        <w:rPr>
          <w:sz w:val="20"/>
          <w:lang w:eastAsia="ko-KR"/>
        </w:rPr>
        <w:t xml:space="preserve"> 2014), D.P. Ames, N.W.T. Quinn, and A.A. Rizzoli, Editors. 2014: San Diego, USA. p. 2084−2091.</w:t>
      </w:r>
    </w:p>
    <w:p w14:paraId="50FDFEAC" w14:textId="01D41B60" w:rsidR="007B25EF" w:rsidRPr="00C370A7" w:rsidRDefault="00C370A7" w:rsidP="00C370A7">
      <w:pPr>
        <w:pStyle w:val="references"/>
        <w:spacing w:before="0" w:after="0" w:line="260" w:lineRule="exact"/>
        <w:ind w:left="397" w:hanging="397"/>
        <w:rPr>
          <w:sz w:val="20"/>
          <w:lang w:eastAsia="ko-KR"/>
        </w:rPr>
      </w:pPr>
      <w:r>
        <w:rPr>
          <w:sz w:val="20"/>
          <w:lang w:eastAsia="ko-KR"/>
        </w:rPr>
        <w:t>[7]</w:t>
      </w:r>
      <w:r>
        <w:rPr>
          <w:rFonts w:eastAsiaTheme="minorEastAsia" w:hint="eastAsia"/>
          <w:sz w:val="20"/>
          <w:lang w:eastAsia="zh-CN"/>
        </w:rPr>
        <w:tab/>
      </w:r>
      <w:r w:rsidR="007B25EF" w:rsidRPr="00C370A7">
        <w:rPr>
          <w:sz w:val="20"/>
          <w:lang w:eastAsia="ko-KR"/>
        </w:rPr>
        <w:t>Lotts, W.S. and E.T. Hester, Pipe dreams: the effects of stream bank soil pipes on hyporheic denitrification caused by a peak flow event. Water Resources Research, 2020. 56: p. e2021WR030312.</w:t>
      </w:r>
    </w:p>
    <w:p w14:paraId="3B1FEF64" w14:textId="09F62860" w:rsidR="007B25EF" w:rsidRPr="00C370A7" w:rsidRDefault="00C370A7" w:rsidP="00C370A7">
      <w:pPr>
        <w:pStyle w:val="references"/>
        <w:spacing w:before="0" w:after="0" w:line="260" w:lineRule="exact"/>
        <w:ind w:left="397" w:hanging="397"/>
        <w:rPr>
          <w:sz w:val="20"/>
          <w:lang w:eastAsia="ko-KR"/>
        </w:rPr>
      </w:pPr>
      <w:r>
        <w:rPr>
          <w:sz w:val="20"/>
          <w:lang w:eastAsia="ko-KR"/>
        </w:rPr>
        <w:t>[8]</w:t>
      </w:r>
      <w:r>
        <w:rPr>
          <w:rFonts w:eastAsiaTheme="minorEastAsia" w:hint="eastAsia"/>
          <w:sz w:val="20"/>
          <w:lang w:eastAsia="zh-CN"/>
        </w:rPr>
        <w:tab/>
      </w:r>
      <w:r w:rsidR="007B25EF" w:rsidRPr="00C370A7">
        <w:rPr>
          <w:sz w:val="20"/>
          <w:lang w:eastAsia="ko-KR"/>
        </w:rPr>
        <w:t>Wu, L.W., et al., Impact of Flow Alteration and Temperature Variability on Hyporheic Exchange. Water Resources Research, 2020. 56(3).</w:t>
      </w:r>
    </w:p>
    <w:p w14:paraId="532FA02D" w14:textId="17C623DD" w:rsidR="007B25EF" w:rsidRPr="00C370A7" w:rsidRDefault="00C370A7" w:rsidP="00C370A7">
      <w:pPr>
        <w:pStyle w:val="references"/>
        <w:spacing w:before="0" w:after="0" w:line="260" w:lineRule="exact"/>
        <w:ind w:left="397" w:hanging="397"/>
        <w:rPr>
          <w:sz w:val="20"/>
          <w:lang w:eastAsia="ko-KR"/>
        </w:rPr>
      </w:pPr>
      <w:r>
        <w:rPr>
          <w:sz w:val="20"/>
          <w:lang w:eastAsia="ko-KR"/>
        </w:rPr>
        <w:t>[9]</w:t>
      </w:r>
      <w:r>
        <w:rPr>
          <w:rFonts w:eastAsiaTheme="minorEastAsia" w:hint="eastAsia"/>
          <w:sz w:val="20"/>
          <w:lang w:eastAsia="zh-CN"/>
        </w:rPr>
        <w:tab/>
      </w:r>
      <w:r w:rsidR="007B25EF" w:rsidRPr="00C370A7">
        <w:rPr>
          <w:sz w:val="20"/>
          <w:lang w:eastAsia="ko-KR"/>
        </w:rPr>
        <w:t>Lin, Q., et al., Effect of Hyporheic Exchange on Macroinvertebrate Community in the Weihe River Basin, China. Water, 2020. 12: p. 457.</w:t>
      </w:r>
    </w:p>
    <w:p w14:paraId="6520B7CF" w14:textId="1A3B6995" w:rsidR="007B25EF" w:rsidRPr="00C370A7" w:rsidRDefault="00C370A7" w:rsidP="00C370A7">
      <w:pPr>
        <w:pStyle w:val="references"/>
        <w:spacing w:before="0" w:after="0" w:line="260" w:lineRule="exact"/>
        <w:ind w:left="397" w:hanging="397"/>
        <w:rPr>
          <w:sz w:val="20"/>
          <w:lang w:eastAsia="ko-KR"/>
        </w:rPr>
      </w:pPr>
      <w:r>
        <w:rPr>
          <w:sz w:val="20"/>
          <w:lang w:eastAsia="ko-KR"/>
        </w:rPr>
        <w:t>[10]</w:t>
      </w:r>
      <w:r>
        <w:rPr>
          <w:rFonts w:eastAsiaTheme="minorEastAsia" w:hint="eastAsia"/>
          <w:sz w:val="20"/>
          <w:lang w:eastAsia="zh-CN"/>
        </w:rPr>
        <w:tab/>
      </w:r>
      <w:r w:rsidR="007B25EF" w:rsidRPr="00C370A7">
        <w:rPr>
          <w:sz w:val="20"/>
          <w:lang w:eastAsia="ko-KR"/>
        </w:rPr>
        <w:t>Wallace, C.D., et al., Nitrate Removal Within Heterogeneous Riparian Aquifers Under Tidal Influence. Geophysical Research Letters, 2020. 47(10).</w:t>
      </w:r>
    </w:p>
    <w:p w14:paraId="33387BC2" w14:textId="45A1B396" w:rsidR="007B25EF" w:rsidRPr="00C370A7" w:rsidRDefault="00C370A7" w:rsidP="00C370A7">
      <w:pPr>
        <w:pStyle w:val="references"/>
        <w:spacing w:before="0" w:after="0" w:line="260" w:lineRule="exact"/>
        <w:ind w:left="397" w:hanging="397"/>
        <w:rPr>
          <w:sz w:val="20"/>
          <w:lang w:eastAsia="ko-KR"/>
        </w:rPr>
      </w:pPr>
      <w:r>
        <w:rPr>
          <w:sz w:val="20"/>
          <w:lang w:eastAsia="ko-KR"/>
        </w:rPr>
        <w:t>[11]</w:t>
      </w:r>
      <w:r>
        <w:rPr>
          <w:rFonts w:eastAsiaTheme="minorEastAsia" w:hint="eastAsia"/>
          <w:sz w:val="20"/>
          <w:lang w:eastAsia="zh-CN"/>
        </w:rPr>
        <w:tab/>
      </w:r>
      <w:proofErr w:type="spellStart"/>
      <w:r w:rsidR="007B25EF" w:rsidRPr="00C370A7">
        <w:rPr>
          <w:sz w:val="20"/>
          <w:lang w:eastAsia="ko-KR"/>
        </w:rPr>
        <w:t>Jin</w:t>
      </w:r>
      <w:proofErr w:type="spellEnd"/>
      <w:r w:rsidR="007B25EF" w:rsidRPr="00C370A7">
        <w:rPr>
          <w:sz w:val="20"/>
          <w:lang w:eastAsia="ko-KR"/>
        </w:rPr>
        <w:t>, G., et al., Interplay of hyporheic exchange and fine particle deposition in a riverbed. Advances in Water Resources, 2019. 128: p. 145-157.</w:t>
      </w:r>
    </w:p>
    <w:p w14:paraId="18F0891C" w14:textId="096521E5" w:rsidR="007B25EF" w:rsidRPr="00C370A7" w:rsidRDefault="00C370A7" w:rsidP="00C370A7">
      <w:pPr>
        <w:pStyle w:val="references"/>
        <w:spacing w:before="0" w:after="0" w:line="260" w:lineRule="exact"/>
        <w:ind w:left="397" w:hanging="397"/>
        <w:rPr>
          <w:sz w:val="20"/>
          <w:lang w:eastAsia="ko-KR"/>
        </w:rPr>
      </w:pPr>
      <w:r>
        <w:rPr>
          <w:sz w:val="20"/>
          <w:lang w:eastAsia="ko-KR"/>
        </w:rPr>
        <w:t>[12]</w:t>
      </w:r>
      <w:r>
        <w:rPr>
          <w:rFonts w:eastAsiaTheme="minorEastAsia" w:hint="eastAsia"/>
          <w:sz w:val="20"/>
          <w:lang w:eastAsia="zh-CN"/>
        </w:rPr>
        <w:tab/>
      </w:r>
      <w:r w:rsidR="007B25EF" w:rsidRPr="00C370A7">
        <w:rPr>
          <w:sz w:val="20"/>
          <w:lang w:eastAsia="ko-KR"/>
        </w:rPr>
        <w:t>Roche, K.R., et al., Effects of Turbulent Hyporheic Mixing on Reach-Scale Transport. Water Resources Research, 2019. 55(5): p. 3780-3795.</w:t>
      </w:r>
    </w:p>
    <w:p w14:paraId="5EC8C386" w14:textId="6D735D7D" w:rsidR="007B25EF" w:rsidRPr="00C370A7" w:rsidRDefault="00C370A7" w:rsidP="00C370A7">
      <w:pPr>
        <w:pStyle w:val="references"/>
        <w:spacing w:before="0" w:after="0" w:line="260" w:lineRule="exact"/>
        <w:ind w:left="397" w:hanging="397"/>
        <w:rPr>
          <w:sz w:val="20"/>
          <w:lang w:eastAsia="ko-KR"/>
        </w:rPr>
      </w:pPr>
      <w:r>
        <w:rPr>
          <w:sz w:val="20"/>
          <w:lang w:eastAsia="ko-KR"/>
        </w:rPr>
        <w:t>[13]</w:t>
      </w:r>
      <w:r>
        <w:rPr>
          <w:rFonts w:eastAsiaTheme="minorEastAsia" w:hint="eastAsia"/>
          <w:sz w:val="20"/>
          <w:lang w:eastAsia="zh-CN"/>
        </w:rPr>
        <w:tab/>
      </w:r>
      <w:r w:rsidR="007B25EF" w:rsidRPr="00C370A7">
        <w:rPr>
          <w:sz w:val="20"/>
          <w:lang w:eastAsia="ko-KR"/>
        </w:rPr>
        <w:t>Bryant, S.R., et al., Seasonal manganese transport in the hyporheic zone of a snowmelt-dominated river (East River, Colorado, USA). Hydrogeology Journal, 2020. 28(4): p. 1323-1341.</w:t>
      </w:r>
    </w:p>
    <w:p w14:paraId="5701C90A" w14:textId="6C1A6BD4" w:rsidR="007B25EF" w:rsidRPr="00C370A7" w:rsidRDefault="00C370A7" w:rsidP="00C370A7">
      <w:pPr>
        <w:pStyle w:val="references"/>
        <w:spacing w:before="0" w:after="0" w:line="260" w:lineRule="exact"/>
        <w:ind w:left="397" w:hanging="397"/>
        <w:rPr>
          <w:sz w:val="20"/>
          <w:lang w:eastAsia="ko-KR"/>
        </w:rPr>
      </w:pPr>
      <w:r>
        <w:rPr>
          <w:sz w:val="20"/>
          <w:lang w:eastAsia="ko-KR"/>
        </w:rPr>
        <w:t>[14]</w:t>
      </w:r>
      <w:r>
        <w:rPr>
          <w:rFonts w:eastAsiaTheme="minorEastAsia" w:hint="eastAsia"/>
          <w:sz w:val="20"/>
          <w:lang w:eastAsia="zh-CN"/>
        </w:rPr>
        <w:tab/>
      </w:r>
      <w:r w:rsidR="007B25EF" w:rsidRPr="00C370A7">
        <w:rPr>
          <w:sz w:val="20"/>
          <w:lang w:eastAsia="ko-KR"/>
        </w:rPr>
        <w:t>Rana, S.M.M., D.T. Scott, and E.T. Hester, Effects of in-stream structures and channel flow rate variation on transient storage. Journal of Hydrology, 2017. 548: p. 157-169.</w:t>
      </w:r>
    </w:p>
    <w:p w14:paraId="7A8A6AE8" w14:textId="1CE4D163" w:rsidR="007B25EF" w:rsidRPr="00C370A7" w:rsidRDefault="00C370A7" w:rsidP="00C370A7">
      <w:pPr>
        <w:pStyle w:val="references"/>
        <w:spacing w:before="0" w:after="0" w:line="260" w:lineRule="exact"/>
        <w:ind w:left="397" w:hanging="397"/>
        <w:rPr>
          <w:sz w:val="20"/>
          <w:lang w:eastAsia="ko-KR"/>
        </w:rPr>
      </w:pPr>
      <w:r>
        <w:rPr>
          <w:sz w:val="20"/>
          <w:lang w:eastAsia="ko-KR"/>
        </w:rPr>
        <w:t>[15]</w:t>
      </w:r>
      <w:r>
        <w:rPr>
          <w:rFonts w:eastAsiaTheme="minorEastAsia" w:hint="eastAsia"/>
          <w:sz w:val="20"/>
          <w:lang w:eastAsia="zh-CN"/>
        </w:rPr>
        <w:tab/>
      </w:r>
      <w:r w:rsidR="007B25EF" w:rsidRPr="00C370A7">
        <w:rPr>
          <w:sz w:val="20"/>
          <w:lang w:eastAsia="ko-KR"/>
        </w:rPr>
        <w:t>Wang, N., et al., Transverse hyporheic flow in the cross-section of a compound river system. Advances in Water Resources, 2018. 122: p. 263-277.</w:t>
      </w:r>
    </w:p>
    <w:p w14:paraId="2B34442A" w14:textId="2A175A4B" w:rsidR="007B25EF" w:rsidRPr="00C370A7" w:rsidRDefault="00C370A7" w:rsidP="00C370A7">
      <w:pPr>
        <w:pStyle w:val="references"/>
        <w:spacing w:before="0" w:after="0" w:line="260" w:lineRule="exact"/>
        <w:ind w:left="397" w:hanging="397"/>
        <w:rPr>
          <w:sz w:val="20"/>
          <w:lang w:eastAsia="ko-KR"/>
        </w:rPr>
      </w:pPr>
      <w:r>
        <w:rPr>
          <w:sz w:val="20"/>
          <w:lang w:eastAsia="ko-KR"/>
        </w:rPr>
        <w:t>[16]</w:t>
      </w:r>
      <w:r>
        <w:rPr>
          <w:rFonts w:eastAsiaTheme="minorEastAsia" w:hint="eastAsia"/>
          <w:sz w:val="20"/>
          <w:lang w:eastAsia="zh-CN"/>
        </w:rPr>
        <w:tab/>
      </w:r>
      <w:r w:rsidR="007B25EF" w:rsidRPr="00C370A7">
        <w:rPr>
          <w:sz w:val="20"/>
          <w:lang w:eastAsia="ko-KR"/>
        </w:rPr>
        <w:t>Azizian, M., et al., Bedforms as Biocatalytic Filters: A Pumping and Streamline Segregation Model for Nitrate Removal in Permeable Sediments. Environmental Science &amp; Technology, 2015. 49(18): p. 10993-11002.</w:t>
      </w:r>
    </w:p>
    <w:p w14:paraId="0F27B8BB" w14:textId="4D3CE888" w:rsidR="007B25EF" w:rsidRPr="00C370A7" w:rsidRDefault="00C370A7" w:rsidP="00C370A7">
      <w:pPr>
        <w:pStyle w:val="references"/>
        <w:spacing w:before="0" w:after="0" w:line="260" w:lineRule="exact"/>
        <w:ind w:left="397" w:hanging="397"/>
        <w:rPr>
          <w:sz w:val="20"/>
          <w:lang w:eastAsia="ko-KR"/>
        </w:rPr>
      </w:pPr>
      <w:r>
        <w:rPr>
          <w:sz w:val="20"/>
          <w:lang w:eastAsia="ko-KR"/>
        </w:rPr>
        <w:t>[17]</w:t>
      </w:r>
      <w:r>
        <w:rPr>
          <w:rFonts w:eastAsiaTheme="minorEastAsia" w:hint="eastAsia"/>
          <w:sz w:val="20"/>
          <w:lang w:eastAsia="zh-CN"/>
        </w:rPr>
        <w:tab/>
      </w:r>
      <w:r w:rsidR="007B25EF" w:rsidRPr="00C370A7">
        <w:rPr>
          <w:sz w:val="20"/>
          <w:lang w:eastAsia="ko-KR"/>
        </w:rPr>
        <w:t>Azizian, M., et al., Ambient groundwater flow diminishes nitrate processing in the hyporheic zone of streams. Water Resources Research, 2017. 53(5): p. 3941-3967.</w:t>
      </w:r>
    </w:p>
    <w:p w14:paraId="01E69DA0" w14:textId="4A75B83F" w:rsidR="007B25EF" w:rsidRPr="00C370A7" w:rsidRDefault="00C370A7" w:rsidP="00C370A7">
      <w:pPr>
        <w:pStyle w:val="references"/>
        <w:spacing w:before="0" w:after="0" w:line="260" w:lineRule="exact"/>
        <w:ind w:left="397" w:hanging="397"/>
        <w:rPr>
          <w:sz w:val="20"/>
          <w:lang w:eastAsia="ko-KR"/>
        </w:rPr>
      </w:pPr>
      <w:r>
        <w:rPr>
          <w:sz w:val="20"/>
          <w:lang w:eastAsia="ko-KR"/>
        </w:rPr>
        <w:lastRenderedPageBreak/>
        <w:t>[18]</w:t>
      </w:r>
      <w:r>
        <w:rPr>
          <w:rFonts w:eastAsiaTheme="minorEastAsia" w:hint="eastAsia"/>
          <w:sz w:val="20"/>
          <w:lang w:eastAsia="zh-CN"/>
        </w:rPr>
        <w:tab/>
      </w:r>
      <w:r w:rsidR="007B25EF" w:rsidRPr="00C370A7">
        <w:rPr>
          <w:sz w:val="20"/>
          <w:lang w:eastAsia="ko-KR"/>
        </w:rPr>
        <w:t>Seitzinger, S.P., et al., Nitrogen retention in rivers: model development and application to watersheds in the northeastern USA, in The nitrogen cycle at regional to global scales, E.W. Boyer and R.W. Howarth, Editors. 2002, Springer. p. 199-237.</w:t>
      </w:r>
    </w:p>
    <w:p w14:paraId="0739C5BD" w14:textId="23761168" w:rsidR="007B25EF" w:rsidRPr="00C370A7" w:rsidRDefault="00C370A7" w:rsidP="00C370A7">
      <w:pPr>
        <w:pStyle w:val="references"/>
        <w:spacing w:before="0" w:after="0" w:line="260" w:lineRule="exact"/>
        <w:ind w:left="397" w:hanging="397"/>
        <w:rPr>
          <w:sz w:val="20"/>
          <w:lang w:eastAsia="ko-KR"/>
        </w:rPr>
      </w:pPr>
      <w:r>
        <w:rPr>
          <w:sz w:val="20"/>
          <w:lang w:eastAsia="ko-KR"/>
        </w:rPr>
        <w:t>[19]</w:t>
      </w:r>
      <w:r>
        <w:rPr>
          <w:rFonts w:eastAsiaTheme="minorEastAsia" w:hint="eastAsia"/>
          <w:sz w:val="20"/>
          <w:lang w:eastAsia="zh-CN"/>
        </w:rPr>
        <w:tab/>
      </w:r>
      <w:r w:rsidR="007B25EF" w:rsidRPr="00C370A7">
        <w:rPr>
          <w:sz w:val="20"/>
          <w:lang w:eastAsia="ko-KR"/>
        </w:rPr>
        <w:t>Mulholland, P.J., et al., Stream denitrification across biomes and its response to anthropogenic nitrate loading. Nature, 2008. 452(7184): p. 202-U46.</w:t>
      </w:r>
    </w:p>
    <w:p w14:paraId="4E63A97F" w14:textId="252CE416" w:rsidR="007B25EF" w:rsidRPr="00C370A7" w:rsidRDefault="00C370A7" w:rsidP="00C370A7">
      <w:pPr>
        <w:pStyle w:val="references"/>
        <w:spacing w:before="0" w:after="0" w:line="260" w:lineRule="exact"/>
        <w:ind w:left="397" w:hanging="397"/>
        <w:rPr>
          <w:sz w:val="20"/>
          <w:lang w:eastAsia="ko-KR"/>
        </w:rPr>
      </w:pPr>
      <w:r>
        <w:rPr>
          <w:sz w:val="20"/>
          <w:lang w:eastAsia="ko-KR"/>
        </w:rPr>
        <w:t>[20]</w:t>
      </w:r>
      <w:r>
        <w:rPr>
          <w:rFonts w:eastAsiaTheme="minorEastAsia" w:hint="eastAsia"/>
          <w:sz w:val="20"/>
          <w:lang w:eastAsia="zh-CN"/>
        </w:rPr>
        <w:tab/>
      </w:r>
      <w:r w:rsidR="007B25EF" w:rsidRPr="00C370A7">
        <w:rPr>
          <w:sz w:val="20"/>
          <w:lang w:eastAsia="ko-KR"/>
        </w:rPr>
        <w:t xml:space="preserve">Bardini, L., et al., Nutrient cycling in bedform induced hyporheic zones. </w:t>
      </w:r>
      <w:proofErr w:type="spellStart"/>
      <w:r w:rsidR="007B25EF" w:rsidRPr="00C370A7">
        <w:rPr>
          <w:sz w:val="20"/>
          <w:lang w:eastAsia="ko-KR"/>
        </w:rPr>
        <w:t>Geochimica</w:t>
      </w:r>
      <w:proofErr w:type="spellEnd"/>
      <w:r w:rsidR="007B25EF" w:rsidRPr="00C370A7">
        <w:rPr>
          <w:sz w:val="20"/>
          <w:lang w:eastAsia="ko-KR"/>
        </w:rPr>
        <w:t xml:space="preserve"> et </w:t>
      </w:r>
      <w:proofErr w:type="spellStart"/>
      <w:r w:rsidR="007B25EF" w:rsidRPr="00C370A7">
        <w:rPr>
          <w:sz w:val="20"/>
          <w:lang w:eastAsia="ko-KR"/>
        </w:rPr>
        <w:t>Cosmochimica</w:t>
      </w:r>
      <w:proofErr w:type="spellEnd"/>
      <w:r w:rsidR="007B25EF" w:rsidRPr="00C370A7">
        <w:rPr>
          <w:sz w:val="20"/>
          <w:lang w:eastAsia="ko-KR"/>
        </w:rPr>
        <w:t xml:space="preserve"> Acta, 2012. 84: p. 47-61.</w:t>
      </w:r>
    </w:p>
    <w:p w14:paraId="606A42B2" w14:textId="4446A722" w:rsidR="007B25EF" w:rsidRPr="00C370A7" w:rsidRDefault="007B25EF" w:rsidP="00C370A7">
      <w:pPr>
        <w:pStyle w:val="references"/>
        <w:spacing w:before="0" w:after="0" w:line="260" w:lineRule="exact"/>
        <w:ind w:left="397" w:hanging="397"/>
        <w:rPr>
          <w:sz w:val="20"/>
          <w:lang w:eastAsia="ko-KR"/>
        </w:rPr>
      </w:pPr>
      <w:r w:rsidRPr="00C370A7">
        <w:rPr>
          <w:sz w:val="20"/>
          <w:lang w:eastAsia="ko-KR"/>
        </w:rPr>
        <w:t>[21]</w:t>
      </w:r>
      <w:r w:rsidR="00C370A7">
        <w:rPr>
          <w:rFonts w:eastAsiaTheme="minorEastAsia" w:hint="eastAsia"/>
          <w:sz w:val="20"/>
          <w:lang w:eastAsia="zh-CN"/>
        </w:rPr>
        <w:tab/>
      </w:r>
      <w:r w:rsidRPr="00C370A7">
        <w:rPr>
          <w:sz w:val="20"/>
          <w:lang w:eastAsia="ko-KR"/>
        </w:rPr>
        <w:t>Jiang, Q., et al., N 2 O Production and Consumption Processes in a Salinity</w:t>
      </w:r>
      <w:r w:rsidRPr="00C370A7">
        <w:rPr>
          <w:rFonts w:hint="eastAsia"/>
          <w:sz w:val="20"/>
          <w:lang w:eastAsia="ko-KR"/>
        </w:rPr>
        <w:t>‐</w:t>
      </w:r>
      <w:r w:rsidRPr="00C370A7">
        <w:rPr>
          <w:sz w:val="20"/>
          <w:lang w:eastAsia="ko-KR"/>
        </w:rPr>
        <w:t xml:space="preserve">Impacted Hyporheic Zone. Journal of Geophysical Research: </w:t>
      </w:r>
      <w:proofErr w:type="spellStart"/>
      <w:r w:rsidRPr="00C370A7">
        <w:rPr>
          <w:sz w:val="20"/>
          <w:lang w:eastAsia="ko-KR"/>
        </w:rPr>
        <w:t>Biogeosciences</w:t>
      </w:r>
      <w:proofErr w:type="spellEnd"/>
      <w:r w:rsidRPr="00C370A7">
        <w:rPr>
          <w:sz w:val="20"/>
          <w:lang w:eastAsia="ko-KR"/>
        </w:rPr>
        <w:t>, 2021. 126: p. e2021JG006512.</w:t>
      </w:r>
    </w:p>
    <w:p w14:paraId="678D81DA" w14:textId="7671D771" w:rsidR="007B25EF" w:rsidRPr="00C370A7" w:rsidRDefault="00C370A7" w:rsidP="00C370A7">
      <w:pPr>
        <w:pStyle w:val="references"/>
        <w:spacing w:before="0" w:after="0" w:line="260" w:lineRule="exact"/>
        <w:ind w:left="397" w:hanging="397"/>
        <w:rPr>
          <w:sz w:val="20"/>
          <w:lang w:eastAsia="ko-KR"/>
        </w:rPr>
      </w:pPr>
      <w:r>
        <w:rPr>
          <w:sz w:val="20"/>
          <w:lang w:eastAsia="ko-KR"/>
        </w:rPr>
        <w:t>[22]</w:t>
      </w:r>
      <w:r>
        <w:rPr>
          <w:rFonts w:eastAsiaTheme="minorEastAsia" w:hint="eastAsia"/>
          <w:sz w:val="20"/>
          <w:lang w:eastAsia="zh-CN"/>
        </w:rPr>
        <w:tab/>
      </w:r>
      <w:r w:rsidR="007B25EF" w:rsidRPr="00C370A7">
        <w:rPr>
          <w:sz w:val="20"/>
          <w:lang w:eastAsia="ko-KR"/>
        </w:rPr>
        <w:t>Mahl, U.H., et al., Two-Stage Ditch Floodplains Enhance N-Removal Capacity and Reduce Turbidity and Dissolved P in Agricultural Streams. Journal of the American Water Resources Association, 2015. 51(4): p. 923-940.</w:t>
      </w:r>
    </w:p>
    <w:p w14:paraId="3ABB6435" w14:textId="50132C48" w:rsidR="007B25EF" w:rsidRPr="00C370A7" w:rsidRDefault="00C370A7" w:rsidP="00C370A7">
      <w:pPr>
        <w:pStyle w:val="references"/>
        <w:spacing w:before="0" w:after="0" w:line="260" w:lineRule="exact"/>
        <w:ind w:left="397" w:hanging="397"/>
        <w:rPr>
          <w:sz w:val="20"/>
          <w:lang w:eastAsia="ko-KR"/>
        </w:rPr>
      </w:pPr>
      <w:r>
        <w:rPr>
          <w:sz w:val="20"/>
          <w:lang w:eastAsia="ko-KR"/>
        </w:rPr>
        <w:t>[23]</w:t>
      </w:r>
      <w:r>
        <w:rPr>
          <w:rFonts w:eastAsiaTheme="minorEastAsia" w:hint="eastAsia"/>
          <w:sz w:val="20"/>
          <w:lang w:eastAsia="zh-CN"/>
        </w:rPr>
        <w:tab/>
      </w:r>
      <w:r w:rsidR="007B25EF" w:rsidRPr="00C370A7">
        <w:rPr>
          <w:sz w:val="20"/>
          <w:lang w:eastAsia="ko-KR"/>
        </w:rPr>
        <w:t>Hernandez, M.E. and W.J. Mitsch, Denitrification in created riverine wetlands: Influence of hydrology and season. Ecological Engineering, 2007. 30(1): p. 78-88.</w:t>
      </w:r>
    </w:p>
    <w:p w14:paraId="42002131" w14:textId="02BC1D92" w:rsidR="007B25EF" w:rsidRPr="00C370A7" w:rsidRDefault="00C370A7" w:rsidP="00C370A7">
      <w:pPr>
        <w:pStyle w:val="references"/>
        <w:spacing w:before="0" w:after="0" w:line="260" w:lineRule="exact"/>
        <w:ind w:left="397" w:hanging="397"/>
        <w:rPr>
          <w:sz w:val="20"/>
          <w:lang w:eastAsia="ko-KR"/>
        </w:rPr>
      </w:pPr>
      <w:r>
        <w:rPr>
          <w:sz w:val="20"/>
          <w:lang w:eastAsia="ko-KR"/>
        </w:rPr>
        <w:t>[24]</w:t>
      </w:r>
      <w:r>
        <w:rPr>
          <w:rFonts w:eastAsiaTheme="minorEastAsia" w:hint="eastAsia"/>
          <w:sz w:val="20"/>
          <w:lang w:eastAsia="zh-CN"/>
        </w:rPr>
        <w:tab/>
      </w:r>
      <w:r w:rsidR="007B25EF" w:rsidRPr="00C370A7">
        <w:rPr>
          <w:sz w:val="20"/>
          <w:lang w:eastAsia="ko-KR"/>
        </w:rPr>
        <w:t>Xiao, Y., et al., Flow Structures in Trapezoidal Compound Channels with Different Side Slopes of Main Channel. International Journal of Civil Engineering, 2017. 16(7): p. 823-835.</w:t>
      </w:r>
    </w:p>
    <w:p w14:paraId="1A0629C6" w14:textId="2279FFD1" w:rsidR="007B25EF" w:rsidRPr="00C370A7" w:rsidRDefault="00C370A7" w:rsidP="00C370A7">
      <w:pPr>
        <w:pStyle w:val="references"/>
        <w:spacing w:before="0" w:after="0" w:line="260" w:lineRule="exact"/>
        <w:ind w:left="397" w:hanging="397"/>
        <w:rPr>
          <w:sz w:val="20"/>
          <w:lang w:eastAsia="ko-KR"/>
        </w:rPr>
      </w:pPr>
      <w:r>
        <w:rPr>
          <w:sz w:val="20"/>
          <w:lang w:eastAsia="ko-KR"/>
        </w:rPr>
        <w:t>[25]</w:t>
      </w:r>
      <w:r>
        <w:rPr>
          <w:rFonts w:eastAsiaTheme="minorEastAsia" w:hint="eastAsia"/>
          <w:sz w:val="20"/>
          <w:lang w:eastAsia="zh-CN"/>
        </w:rPr>
        <w:tab/>
      </w:r>
      <w:r w:rsidR="007B25EF" w:rsidRPr="00C370A7">
        <w:rPr>
          <w:sz w:val="20"/>
          <w:lang w:eastAsia="ko-KR"/>
        </w:rPr>
        <w:t xml:space="preserve">Gualtieri, C., Effect of permeability on hyporheic flows across a triangular dune, in Essays on Fundamental and Applied Environmental Topics, </w:t>
      </w:r>
      <w:proofErr w:type="spellStart"/>
      <w:r w:rsidR="007B25EF" w:rsidRPr="00C370A7">
        <w:rPr>
          <w:sz w:val="20"/>
          <w:lang w:eastAsia="ko-KR"/>
        </w:rPr>
        <w:t>D.T.Mihailović</w:t>
      </w:r>
      <w:proofErr w:type="spellEnd"/>
      <w:r w:rsidR="007B25EF" w:rsidRPr="00C370A7">
        <w:rPr>
          <w:sz w:val="20"/>
          <w:lang w:eastAsia="ko-KR"/>
        </w:rPr>
        <w:t>, Editor. 2012, Nova Science: New York, USA. p. 115-132.</w:t>
      </w:r>
    </w:p>
    <w:p w14:paraId="797D43A7" w14:textId="58081E97" w:rsidR="007B25EF" w:rsidRPr="00C370A7" w:rsidRDefault="00C370A7" w:rsidP="00C370A7">
      <w:pPr>
        <w:pStyle w:val="references"/>
        <w:spacing w:before="0" w:after="0" w:line="260" w:lineRule="exact"/>
        <w:ind w:left="397" w:hanging="397"/>
        <w:rPr>
          <w:sz w:val="20"/>
          <w:lang w:eastAsia="ko-KR"/>
        </w:rPr>
      </w:pPr>
      <w:r>
        <w:rPr>
          <w:sz w:val="20"/>
          <w:lang w:eastAsia="ko-KR"/>
        </w:rPr>
        <w:t>[26]</w:t>
      </w:r>
      <w:r>
        <w:rPr>
          <w:rFonts w:eastAsiaTheme="minorEastAsia" w:hint="eastAsia"/>
          <w:sz w:val="20"/>
          <w:lang w:eastAsia="zh-CN"/>
        </w:rPr>
        <w:tab/>
      </w:r>
      <w:r w:rsidR="007B25EF" w:rsidRPr="00C370A7">
        <w:rPr>
          <w:sz w:val="20"/>
          <w:lang w:eastAsia="ko-KR"/>
        </w:rPr>
        <w:t>Bear, J., Dynamics of fluids in porous media. 1972, New York, USA: Elsevier.</w:t>
      </w:r>
    </w:p>
    <w:p w14:paraId="55995CBF" w14:textId="11E632D3" w:rsidR="007B25EF" w:rsidRPr="00C370A7" w:rsidRDefault="00C370A7" w:rsidP="00C370A7">
      <w:pPr>
        <w:pStyle w:val="references"/>
        <w:spacing w:before="0" w:after="0" w:line="260" w:lineRule="exact"/>
        <w:ind w:left="397" w:hanging="397"/>
        <w:rPr>
          <w:sz w:val="20"/>
          <w:lang w:eastAsia="ko-KR"/>
        </w:rPr>
      </w:pPr>
      <w:r>
        <w:rPr>
          <w:sz w:val="20"/>
          <w:lang w:eastAsia="ko-KR"/>
        </w:rPr>
        <w:t>[27]</w:t>
      </w:r>
      <w:r>
        <w:rPr>
          <w:rFonts w:eastAsiaTheme="minorEastAsia" w:hint="eastAsia"/>
          <w:sz w:val="20"/>
          <w:lang w:eastAsia="zh-CN"/>
        </w:rPr>
        <w:tab/>
      </w:r>
      <w:r w:rsidR="007B25EF" w:rsidRPr="00C370A7">
        <w:rPr>
          <w:sz w:val="20"/>
          <w:lang w:eastAsia="ko-KR"/>
        </w:rPr>
        <w:t>Cushman, J.H. and D.M. Tartakovsky, The handbook of groundwater engineering. 2016: CRC Press.</w:t>
      </w:r>
    </w:p>
    <w:p w14:paraId="7787E79F" w14:textId="4A30F710" w:rsidR="007B25EF" w:rsidRPr="00C370A7" w:rsidRDefault="00C370A7" w:rsidP="00C370A7">
      <w:pPr>
        <w:pStyle w:val="references"/>
        <w:spacing w:before="0" w:after="0" w:line="260" w:lineRule="exact"/>
        <w:ind w:left="397" w:hanging="397"/>
        <w:rPr>
          <w:sz w:val="20"/>
          <w:lang w:eastAsia="ko-KR"/>
        </w:rPr>
      </w:pPr>
      <w:r>
        <w:rPr>
          <w:sz w:val="20"/>
          <w:lang w:eastAsia="ko-KR"/>
        </w:rPr>
        <w:t>[28]</w:t>
      </w:r>
      <w:r>
        <w:rPr>
          <w:rFonts w:eastAsiaTheme="minorEastAsia" w:hint="eastAsia"/>
          <w:sz w:val="20"/>
          <w:lang w:eastAsia="zh-CN"/>
        </w:rPr>
        <w:tab/>
      </w:r>
      <w:r w:rsidR="007B25EF" w:rsidRPr="00C370A7">
        <w:rPr>
          <w:sz w:val="20"/>
          <w:lang w:eastAsia="ko-KR"/>
        </w:rPr>
        <w:t>Zheng, C. and G. Bennett, Applied Contaminant Transport Modeling. Vol. 34. 2002, New York, USA: Wiley.</w:t>
      </w:r>
    </w:p>
    <w:p w14:paraId="33CDAF9B" w14:textId="0B41445E" w:rsidR="007B25EF" w:rsidRPr="00C370A7" w:rsidRDefault="00C370A7" w:rsidP="00C370A7">
      <w:pPr>
        <w:pStyle w:val="references"/>
        <w:spacing w:before="0" w:after="0" w:line="260" w:lineRule="exact"/>
        <w:ind w:left="397" w:hanging="397"/>
        <w:rPr>
          <w:sz w:val="20"/>
          <w:lang w:eastAsia="ko-KR"/>
        </w:rPr>
      </w:pPr>
      <w:r>
        <w:rPr>
          <w:sz w:val="20"/>
          <w:lang w:eastAsia="ko-KR"/>
        </w:rPr>
        <w:t>[29]</w:t>
      </w:r>
      <w:r>
        <w:rPr>
          <w:rFonts w:eastAsiaTheme="minorEastAsia" w:hint="eastAsia"/>
          <w:sz w:val="20"/>
          <w:lang w:eastAsia="zh-CN"/>
        </w:rPr>
        <w:tab/>
      </w:r>
      <w:r w:rsidR="007B25EF" w:rsidRPr="00C370A7">
        <w:rPr>
          <w:sz w:val="20"/>
          <w:lang w:eastAsia="ko-KR"/>
        </w:rPr>
        <w:t xml:space="preserve">Hunter, K.S., Y. Wang, and P. Van </w:t>
      </w:r>
      <w:proofErr w:type="spellStart"/>
      <w:r w:rsidR="007B25EF" w:rsidRPr="00C370A7">
        <w:rPr>
          <w:sz w:val="20"/>
          <w:lang w:eastAsia="ko-KR"/>
        </w:rPr>
        <w:t>Cappellen</w:t>
      </w:r>
      <w:proofErr w:type="spellEnd"/>
      <w:r w:rsidR="007B25EF" w:rsidRPr="00C370A7">
        <w:rPr>
          <w:sz w:val="20"/>
          <w:lang w:eastAsia="ko-KR"/>
        </w:rPr>
        <w:t>, Kinetic modeling of microbially-driven redox chemistry of subsurface environments: coupling transport, microbial metabolism and geochemistry. Journal of Hydrology, 1998. 209(1): p. 53-80.</w:t>
      </w:r>
    </w:p>
    <w:p w14:paraId="4551D881" w14:textId="77777777" w:rsidR="00AC1D24" w:rsidRPr="00E46DF1" w:rsidRDefault="00AC1D24"/>
    <w:p w14:paraId="6FE5D478" w14:textId="77777777" w:rsidR="00BB762B" w:rsidRPr="001E18D0" w:rsidRDefault="00BB762B" w:rsidP="00BB762B">
      <w:r w:rsidRPr="001E18D0">
        <w:rPr>
          <w:noProof/>
          <w:lang w:eastAsia="zh-CN"/>
        </w:rPr>
        <w:lastRenderedPageBreak/>
        <w:drawing>
          <wp:inline distT="0" distB="0" distL="0" distR="0" wp14:anchorId="06736830" wp14:editId="1470A6EC">
            <wp:extent cx="6199694" cy="694816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4"/>
                    <a:stretch>
                      <a:fillRect/>
                    </a:stretch>
                  </pic:blipFill>
                  <pic:spPr bwMode="auto">
                    <a:xfrm>
                      <a:off x="0" y="0"/>
                      <a:ext cx="6199694" cy="6948168"/>
                    </a:xfrm>
                    <a:prstGeom prst="rect">
                      <a:avLst/>
                    </a:prstGeom>
                    <a:noFill/>
                    <a:ln>
                      <a:noFill/>
                    </a:ln>
                  </pic:spPr>
                </pic:pic>
              </a:graphicData>
            </a:graphic>
          </wp:inline>
        </w:drawing>
      </w:r>
    </w:p>
    <w:p w14:paraId="5F14F41B" w14:textId="77777777" w:rsidR="00BB762B" w:rsidRDefault="00BB762B" w:rsidP="00BB762B">
      <w:pPr>
        <w:spacing w:line="260" w:lineRule="exact"/>
      </w:pPr>
      <w:r w:rsidRPr="00BB762B">
        <w:rPr>
          <w:rFonts w:hint="eastAsia"/>
        </w:rPr>
        <w:t>F</w:t>
      </w:r>
      <w:r w:rsidRPr="00BB762B">
        <w:t>igure 3.</w:t>
      </w:r>
      <w:r>
        <w:t xml:space="preserve"> </w:t>
      </w:r>
      <w:r>
        <w:rPr>
          <w:rFonts w:hint="eastAsia"/>
        </w:rPr>
        <w:t>(</w:t>
      </w:r>
      <w:r>
        <w:t>a) Spatial distribution of nutrients in the hyporheic zone. (b) Nutrients influx along the SWI.</w:t>
      </w:r>
    </w:p>
    <w:p w14:paraId="41E59B08" w14:textId="77777777" w:rsidR="00BB762B" w:rsidRPr="001E18D0" w:rsidRDefault="00BB762B" w:rsidP="00BB762B">
      <w:pPr>
        <w:spacing w:line="260" w:lineRule="exact"/>
      </w:pPr>
    </w:p>
    <w:p w14:paraId="207958FA" w14:textId="77777777" w:rsidR="00BB762B" w:rsidRPr="00E33F5A" w:rsidRDefault="00BB762B" w:rsidP="00BB762B"/>
    <w:p w14:paraId="6A5724D7" w14:textId="77777777" w:rsidR="00BB762B" w:rsidRPr="00EC1A4A" w:rsidRDefault="00BB762B" w:rsidP="00BB762B">
      <w:pPr>
        <w:jc w:val="center"/>
      </w:pPr>
    </w:p>
    <w:p w14:paraId="2C2D4AE3" w14:textId="77777777" w:rsidR="00BB762B" w:rsidRDefault="00BB762B" w:rsidP="00BB762B">
      <w:pPr>
        <w:jc w:val="center"/>
      </w:pPr>
      <w:r>
        <w:rPr>
          <w:noProof/>
          <w:lang w:eastAsia="zh-CN"/>
        </w:rPr>
        <w:lastRenderedPageBreak/>
        <w:drawing>
          <wp:inline distT="0" distB="0" distL="0" distR="0" wp14:anchorId="40C06907" wp14:editId="3089FB59">
            <wp:extent cx="4726577" cy="38036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5"/>
                    <a:stretch>
                      <a:fillRect/>
                    </a:stretch>
                  </pic:blipFill>
                  <pic:spPr bwMode="auto">
                    <a:xfrm>
                      <a:off x="0" y="0"/>
                      <a:ext cx="4726577" cy="3803650"/>
                    </a:xfrm>
                    <a:prstGeom prst="rect">
                      <a:avLst/>
                    </a:prstGeom>
                    <a:noFill/>
                    <a:ln>
                      <a:noFill/>
                    </a:ln>
                  </pic:spPr>
                </pic:pic>
              </a:graphicData>
            </a:graphic>
          </wp:inline>
        </w:drawing>
      </w:r>
    </w:p>
    <w:p w14:paraId="609EA6D4" w14:textId="77777777" w:rsidR="00BB762B" w:rsidRPr="00593158" w:rsidRDefault="00BB762B" w:rsidP="00BB762B">
      <w:r w:rsidRPr="00BB762B">
        <w:rPr>
          <w:rFonts w:hint="eastAsia"/>
        </w:rPr>
        <w:t>F</w:t>
      </w:r>
      <w:r w:rsidRPr="00BB762B">
        <w:t>igure 4.</w:t>
      </w:r>
      <w:r>
        <w:t xml:space="preserve"> The spatially summed (a) respiration, (b) nitrification, (c) denitrification and (d) net denitrification rate.</w:t>
      </w:r>
    </w:p>
    <w:p w14:paraId="4172EDFB" w14:textId="77777777" w:rsidR="00BB762B" w:rsidRDefault="00BB762B" w:rsidP="00BB762B">
      <w:pPr>
        <w:jc w:val="center"/>
      </w:pPr>
      <w:r>
        <w:rPr>
          <w:noProof/>
          <w:lang w:eastAsia="zh-CN"/>
        </w:rPr>
        <w:drawing>
          <wp:inline distT="0" distB="0" distL="0" distR="0" wp14:anchorId="387C5BF3" wp14:editId="15E05238">
            <wp:extent cx="2597720" cy="20008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6"/>
                    <a:stretch>
                      <a:fillRect/>
                    </a:stretch>
                  </pic:blipFill>
                  <pic:spPr bwMode="auto">
                    <a:xfrm>
                      <a:off x="0" y="0"/>
                      <a:ext cx="2597720" cy="2000885"/>
                    </a:xfrm>
                    <a:prstGeom prst="rect">
                      <a:avLst/>
                    </a:prstGeom>
                    <a:noFill/>
                    <a:ln>
                      <a:noFill/>
                    </a:ln>
                  </pic:spPr>
                </pic:pic>
              </a:graphicData>
            </a:graphic>
          </wp:inline>
        </w:drawing>
      </w:r>
    </w:p>
    <w:p w14:paraId="71207D4A" w14:textId="77777777" w:rsidR="00BB762B" w:rsidRDefault="00BB762B" w:rsidP="00BB762B">
      <w:r w:rsidRPr="00BB762B">
        <w:rPr>
          <w:rFonts w:hint="eastAsia"/>
        </w:rPr>
        <w:t>F</w:t>
      </w:r>
      <w:r w:rsidRPr="00BB762B">
        <w:t xml:space="preserve">igure 5. </w:t>
      </w:r>
      <w:r>
        <w:t xml:space="preserve">The </w:t>
      </w:r>
      <w:r w:rsidRPr="00F91F18">
        <w:t>nitrate removal efficiency (</w:t>
      </w:r>
      <w:proofErr w:type="spellStart"/>
      <w:r w:rsidRPr="00F91F18">
        <w:rPr>
          <w:i/>
          <w:iCs/>
        </w:rPr>
        <w:t>N</w:t>
      </w:r>
      <w:r w:rsidRPr="00F91F18">
        <w:rPr>
          <w:i/>
          <w:iCs/>
          <w:vertAlign w:val="subscript"/>
        </w:rPr>
        <w:t>re</w:t>
      </w:r>
      <w:proofErr w:type="spellEnd"/>
      <w:r w:rsidRPr="00F91F18">
        <w:rPr>
          <w:vertAlign w:val="subscript"/>
        </w:rPr>
        <w:t>)</w:t>
      </w:r>
      <w:r w:rsidRPr="00F91F18">
        <w:t xml:space="preserve"> under different </w:t>
      </w:r>
      <w:r>
        <w:t>bank slope angles and ambient groundwater discharges.</w:t>
      </w:r>
    </w:p>
    <w:p w14:paraId="5D1C82EA" w14:textId="00F7ADF2" w:rsidR="00AC1D24" w:rsidRDefault="00AC1D24" w:rsidP="00765001">
      <w:pPr>
        <w:pStyle w:val="references"/>
        <w:spacing w:before="0" w:after="0" w:line="260" w:lineRule="exact"/>
        <w:ind w:left="357" w:hanging="357"/>
        <w:rPr>
          <w:sz w:val="20"/>
        </w:rPr>
      </w:pPr>
    </w:p>
    <w:sectPr w:rsidR="00AC1D24" w:rsidSect="005E23FE">
      <w:headerReference w:type="even" r:id="rId97"/>
      <w:headerReference w:type="first" r:id="rId98"/>
      <w:footerReference w:type="first" r:id="rId99"/>
      <w:pgSz w:w="11909" w:h="16834" w:code="9"/>
      <w:pgMar w:top="1417" w:right="1417" w:bottom="1134" w:left="1417" w:header="1134" w:footer="1134"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C95DF" w14:textId="77777777" w:rsidR="00D93785" w:rsidRDefault="00D93785">
      <w:r>
        <w:separator/>
      </w:r>
    </w:p>
  </w:endnote>
  <w:endnote w:type="continuationSeparator" w:id="0">
    <w:p w14:paraId="522D3D63" w14:textId="77777777" w:rsidR="00D93785" w:rsidRDefault="00D93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altName w:val="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A2FF9" w14:textId="77777777" w:rsidR="00AC1D24" w:rsidRDefault="00AC1D24">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F773B" w14:textId="77777777" w:rsidR="00D93785" w:rsidRDefault="00D93785">
      <w:r>
        <w:separator/>
      </w:r>
    </w:p>
  </w:footnote>
  <w:footnote w:type="continuationSeparator" w:id="0">
    <w:p w14:paraId="4BD9ABB1" w14:textId="77777777" w:rsidR="00D93785" w:rsidRDefault="00D937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7C036" w14:textId="77777777" w:rsidR="00AC1D24" w:rsidRDefault="00AC1D24">
    <w:pPr>
      <w:pStyle w:val="a5"/>
    </w:pPr>
    <w:r>
      <w:rPr>
        <w:rStyle w:val="a7"/>
      </w:rPr>
      <w:fldChar w:fldCharType="begin"/>
    </w:r>
    <w:r>
      <w:rPr>
        <w:rStyle w:val="a7"/>
      </w:rPr>
      <w:instrText xml:space="preserve"> PAGE </w:instrText>
    </w:r>
    <w:r>
      <w:rPr>
        <w:rStyle w:val="a7"/>
      </w:rPr>
      <w:fldChar w:fldCharType="separate"/>
    </w:r>
    <w:r>
      <w:rPr>
        <w:rStyle w:val="a7"/>
        <w:noProof/>
      </w:rPr>
      <w:t>4</w:t>
    </w:r>
    <w:r>
      <w:rPr>
        <w:rStyle w:val="a7"/>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1796E" w14:textId="37CFB76D" w:rsidR="00AC1D24" w:rsidRPr="00056D7B" w:rsidRDefault="003F6428" w:rsidP="003F6428">
    <w:pPr>
      <w:pStyle w:val="a5"/>
      <w:tabs>
        <w:tab w:val="clear" w:pos="4320"/>
        <w:tab w:val="clear" w:pos="8640"/>
        <w:tab w:val="left" w:pos="0"/>
        <w:tab w:val="center" w:pos="4536"/>
        <w:tab w:val="right" w:pos="9072"/>
      </w:tabs>
      <w:jc w:val="right"/>
      <w:rPr>
        <w:rFonts w:ascii="Arial" w:eastAsia="宋体" w:hAnsi="Arial" w:cs="Arial"/>
        <w:i/>
        <w:sz w:val="18"/>
        <w:szCs w:val="18"/>
        <w:lang w:eastAsia="zh-CN"/>
      </w:rPr>
    </w:pPr>
    <w:r>
      <w:rPr>
        <w:rFonts w:ascii="Arial" w:hAnsi="Arial" w:cs="Arial"/>
        <w:i/>
        <w:sz w:val="18"/>
        <w:szCs w:val="18"/>
      </w:rPr>
      <w:tab/>
    </w:r>
    <w:r>
      <w:rPr>
        <w:rFonts w:ascii="Arial" w:hAnsi="Arial" w:cs="Arial"/>
        <w:i/>
        <w:sz w:val="18"/>
        <w:szCs w:val="18"/>
      </w:rPr>
      <w:tab/>
    </w:r>
    <w:r w:rsidRPr="00D529E7">
      <w:rPr>
        <w:rFonts w:ascii="Arial" w:hAnsi="Arial" w:cs="Arial"/>
        <w:i/>
        <w:sz w:val="18"/>
        <w:szCs w:val="18"/>
      </w:rPr>
      <w:t>1</w:t>
    </w:r>
    <w:r w:rsidR="008E61AD" w:rsidRPr="00056D7B">
      <w:rPr>
        <w:rFonts w:ascii="Arial" w:eastAsia="宋体" w:hAnsi="Arial" w:cs="Arial" w:hint="eastAsia"/>
        <w:i/>
        <w:sz w:val="18"/>
        <w:szCs w:val="18"/>
        <w:lang w:eastAsia="zh-CN"/>
      </w:rPr>
      <w:t>4</w:t>
    </w:r>
    <w:r w:rsidR="00C370A7" w:rsidRPr="00C370A7">
      <w:rPr>
        <w:rFonts w:ascii="Arial" w:eastAsia="宋体" w:hAnsi="Arial" w:cs="Arial" w:hint="eastAsia"/>
        <w:i/>
        <w:sz w:val="18"/>
        <w:szCs w:val="18"/>
        <w:vertAlign w:val="superscript"/>
        <w:lang w:eastAsia="zh-CN"/>
      </w:rPr>
      <w:t>t</w:t>
    </w:r>
    <w:r w:rsidRPr="00D529E7">
      <w:rPr>
        <w:rFonts w:ascii="Arial" w:hAnsi="Arial" w:cs="Arial"/>
        <w:i/>
        <w:sz w:val="18"/>
        <w:szCs w:val="18"/>
        <w:vertAlign w:val="superscript"/>
      </w:rPr>
      <w:t>h</w:t>
    </w:r>
    <w:r w:rsidRPr="00D529E7">
      <w:rPr>
        <w:rFonts w:ascii="Arial" w:hAnsi="Arial" w:cs="Arial"/>
        <w:i/>
        <w:sz w:val="18"/>
        <w:szCs w:val="18"/>
      </w:rPr>
      <w:t xml:space="preserve"> ISE 20</w:t>
    </w:r>
    <w:r w:rsidR="00150466" w:rsidRPr="00056D7B">
      <w:rPr>
        <w:rFonts w:ascii="Arial" w:eastAsia="宋体" w:hAnsi="Arial" w:cs="Arial" w:hint="eastAsia"/>
        <w:i/>
        <w:sz w:val="18"/>
        <w:szCs w:val="18"/>
        <w:lang w:eastAsia="zh-CN"/>
      </w:rPr>
      <w:t>22</w:t>
    </w:r>
    <w:r w:rsidRPr="00D529E7">
      <w:rPr>
        <w:rFonts w:ascii="Arial" w:hAnsi="Arial" w:cs="Arial"/>
        <w:i/>
        <w:sz w:val="18"/>
        <w:szCs w:val="18"/>
      </w:rPr>
      <w:t xml:space="preserve">, </w:t>
    </w:r>
    <w:r w:rsidR="00746856" w:rsidRPr="00056D7B">
      <w:rPr>
        <w:rFonts w:ascii="Arial" w:eastAsia="宋体" w:hAnsi="Arial" w:cs="Arial" w:hint="eastAsia"/>
        <w:i/>
        <w:sz w:val="18"/>
        <w:szCs w:val="18"/>
        <w:lang w:eastAsia="zh-CN"/>
      </w:rPr>
      <w:t>Nanjing</w:t>
    </w:r>
    <w:r w:rsidRPr="00D529E7">
      <w:rPr>
        <w:rFonts w:ascii="Arial" w:hAnsi="Arial" w:cs="Arial"/>
        <w:i/>
        <w:sz w:val="18"/>
        <w:szCs w:val="18"/>
      </w:rPr>
      <w:t xml:space="preserve">, </w:t>
    </w:r>
    <w:r w:rsidR="00746856" w:rsidRPr="00056D7B">
      <w:rPr>
        <w:rFonts w:ascii="Arial" w:eastAsia="宋体" w:hAnsi="Arial" w:cs="Arial" w:hint="eastAsia"/>
        <w:i/>
        <w:sz w:val="18"/>
        <w:szCs w:val="18"/>
        <w:lang w:eastAsia="zh-CN"/>
      </w:rPr>
      <w:t>China</w:t>
    </w:r>
  </w:p>
  <w:p w14:paraId="60AC4747" w14:textId="77777777" w:rsidR="00AC1D24" w:rsidRDefault="00AC1D24">
    <w:pPr>
      <w:pStyle w:val="a5"/>
      <w:jc w:val="right"/>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DB26FC44"/>
    <w:lvl w:ilvl="0">
      <w:start w:val="1"/>
      <w:numFmt w:val="decimal"/>
      <w:lvlText w:val="%1."/>
      <w:lvlJc w:val="left"/>
      <w:pPr>
        <w:tabs>
          <w:tab w:val="num" w:pos="1080"/>
        </w:tabs>
        <w:ind w:left="1080" w:hanging="360"/>
      </w:pPr>
    </w:lvl>
  </w:abstractNum>
  <w:abstractNum w:abstractNumId="1" w15:restartNumberingAfterBreak="0">
    <w:nsid w:val="0A547BE3"/>
    <w:multiLevelType w:val="multilevel"/>
    <w:tmpl w:val="F9C81E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A501BC0"/>
    <w:multiLevelType w:val="hybridMultilevel"/>
    <w:tmpl w:val="9D94AE0E"/>
    <w:lvl w:ilvl="0" w:tplc="1FE01CC4">
      <w:start w:val="1"/>
      <w:numFmt w:val="decimal"/>
      <w:lvlText w:val="[%1]"/>
      <w:lvlJc w:val="right"/>
      <w:pPr>
        <w:tabs>
          <w:tab w:val="num" w:pos="0"/>
        </w:tabs>
        <w:ind w:left="0" w:firstLine="22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66A7D2F"/>
    <w:multiLevelType w:val="multilevel"/>
    <w:tmpl w:val="0C07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15:restartNumberingAfterBreak="0">
    <w:nsid w:val="49133264"/>
    <w:multiLevelType w:val="singleLevel"/>
    <w:tmpl w:val="216EDDC0"/>
    <w:lvl w:ilvl="0">
      <w:start w:val="1"/>
      <w:numFmt w:val="decimal"/>
      <w:lvlText w:val="[%1]"/>
      <w:legacy w:legacy="1" w:legacySpace="0" w:legacyIndent="360"/>
      <w:lvlJc w:val="left"/>
      <w:pPr>
        <w:ind w:left="360" w:hanging="360"/>
      </w:pPr>
      <w:rPr>
        <w:rFonts w:ascii="Times New Roman" w:hAnsi="Times New Roman" w:hint="default"/>
        <w:b w:val="0"/>
        <w:i w:val="0"/>
        <w:sz w:val="20"/>
      </w:rPr>
    </w:lvl>
  </w:abstractNum>
  <w:abstractNum w:abstractNumId="5" w15:restartNumberingAfterBreak="0">
    <w:nsid w:val="4E0B4E77"/>
    <w:multiLevelType w:val="hybridMultilevel"/>
    <w:tmpl w:val="E18EC85A"/>
    <w:lvl w:ilvl="0" w:tplc="F60826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739590771">
    <w:abstractNumId w:val="0"/>
  </w:num>
  <w:num w:numId="2" w16cid:durableId="1835871310">
    <w:abstractNumId w:val="4"/>
  </w:num>
  <w:num w:numId="3" w16cid:durableId="835649835">
    <w:abstractNumId w:val="2"/>
  </w:num>
  <w:num w:numId="4" w16cid:durableId="1073896962">
    <w:abstractNumId w:val="1"/>
  </w:num>
  <w:num w:numId="5" w16cid:durableId="798301386">
    <w:abstractNumId w:val="3"/>
  </w:num>
  <w:num w:numId="6" w16cid:durableId="4284296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hyphenationZone w:val="425"/>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A49"/>
    <w:rsid w:val="00056D7B"/>
    <w:rsid w:val="00065972"/>
    <w:rsid w:val="0009387C"/>
    <w:rsid w:val="00093BA6"/>
    <w:rsid w:val="000A11EC"/>
    <w:rsid w:val="000B526A"/>
    <w:rsid w:val="000E2896"/>
    <w:rsid w:val="00125E07"/>
    <w:rsid w:val="0012755A"/>
    <w:rsid w:val="00127FAC"/>
    <w:rsid w:val="00150466"/>
    <w:rsid w:val="0018581C"/>
    <w:rsid w:val="00185C4C"/>
    <w:rsid w:val="00190497"/>
    <w:rsid w:val="001B31E0"/>
    <w:rsid w:val="001C0E5D"/>
    <w:rsid w:val="001D6D74"/>
    <w:rsid w:val="002066A4"/>
    <w:rsid w:val="00211A49"/>
    <w:rsid w:val="002240AB"/>
    <w:rsid w:val="0023645C"/>
    <w:rsid w:val="00240E2C"/>
    <w:rsid w:val="0028337A"/>
    <w:rsid w:val="00290963"/>
    <w:rsid w:val="002B2705"/>
    <w:rsid w:val="00317F85"/>
    <w:rsid w:val="00340714"/>
    <w:rsid w:val="00346D5C"/>
    <w:rsid w:val="00347CB4"/>
    <w:rsid w:val="003A4B82"/>
    <w:rsid w:val="003A506C"/>
    <w:rsid w:val="003C3A0C"/>
    <w:rsid w:val="003F6428"/>
    <w:rsid w:val="00445FD7"/>
    <w:rsid w:val="00470C40"/>
    <w:rsid w:val="004846B7"/>
    <w:rsid w:val="00491EF5"/>
    <w:rsid w:val="00496B42"/>
    <w:rsid w:val="004A43BC"/>
    <w:rsid w:val="005472BB"/>
    <w:rsid w:val="00560E42"/>
    <w:rsid w:val="005A5F54"/>
    <w:rsid w:val="005B6292"/>
    <w:rsid w:val="005C6CB2"/>
    <w:rsid w:val="005E23FE"/>
    <w:rsid w:val="005F65F3"/>
    <w:rsid w:val="0061164A"/>
    <w:rsid w:val="0063188E"/>
    <w:rsid w:val="00660CE9"/>
    <w:rsid w:val="006A3F87"/>
    <w:rsid w:val="006B15D3"/>
    <w:rsid w:val="006C4D65"/>
    <w:rsid w:val="006C6215"/>
    <w:rsid w:val="006D6418"/>
    <w:rsid w:val="006E7DEF"/>
    <w:rsid w:val="007144E8"/>
    <w:rsid w:val="00746856"/>
    <w:rsid w:val="00765001"/>
    <w:rsid w:val="00796AB0"/>
    <w:rsid w:val="007B25EF"/>
    <w:rsid w:val="00804728"/>
    <w:rsid w:val="0081382A"/>
    <w:rsid w:val="00845712"/>
    <w:rsid w:val="008A4161"/>
    <w:rsid w:val="008C0DF2"/>
    <w:rsid w:val="008D6481"/>
    <w:rsid w:val="008E61AD"/>
    <w:rsid w:val="008F2102"/>
    <w:rsid w:val="00927F29"/>
    <w:rsid w:val="00955D90"/>
    <w:rsid w:val="00962598"/>
    <w:rsid w:val="00967C85"/>
    <w:rsid w:val="00980011"/>
    <w:rsid w:val="009917EF"/>
    <w:rsid w:val="0099559D"/>
    <w:rsid w:val="009A0D81"/>
    <w:rsid w:val="009A5380"/>
    <w:rsid w:val="00A3382A"/>
    <w:rsid w:val="00A375B0"/>
    <w:rsid w:val="00A53105"/>
    <w:rsid w:val="00A62E91"/>
    <w:rsid w:val="00A8568A"/>
    <w:rsid w:val="00A87834"/>
    <w:rsid w:val="00A94B4E"/>
    <w:rsid w:val="00AC1D24"/>
    <w:rsid w:val="00AC26E0"/>
    <w:rsid w:val="00AC52A2"/>
    <w:rsid w:val="00AD212E"/>
    <w:rsid w:val="00AF0242"/>
    <w:rsid w:val="00B35670"/>
    <w:rsid w:val="00B52D1A"/>
    <w:rsid w:val="00B63BD1"/>
    <w:rsid w:val="00B758CE"/>
    <w:rsid w:val="00B924FC"/>
    <w:rsid w:val="00BB762B"/>
    <w:rsid w:val="00BD0572"/>
    <w:rsid w:val="00C027E9"/>
    <w:rsid w:val="00C370A7"/>
    <w:rsid w:val="00C55A17"/>
    <w:rsid w:val="00C56175"/>
    <w:rsid w:val="00C8132E"/>
    <w:rsid w:val="00C87E99"/>
    <w:rsid w:val="00CC1405"/>
    <w:rsid w:val="00D26AF1"/>
    <w:rsid w:val="00D529E7"/>
    <w:rsid w:val="00D64DA2"/>
    <w:rsid w:val="00D73BD5"/>
    <w:rsid w:val="00D93785"/>
    <w:rsid w:val="00D942E5"/>
    <w:rsid w:val="00D95D06"/>
    <w:rsid w:val="00DE4A3D"/>
    <w:rsid w:val="00DF0F47"/>
    <w:rsid w:val="00E20E5E"/>
    <w:rsid w:val="00E46DF1"/>
    <w:rsid w:val="00E52475"/>
    <w:rsid w:val="00E67A30"/>
    <w:rsid w:val="00E80013"/>
    <w:rsid w:val="00E817F3"/>
    <w:rsid w:val="00E9185F"/>
    <w:rsid w:val="00EC66F3"/>
    <w:rsid w:val="00F845E3"/>
    <w:rsid w:val="00F85C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AD94B17"/>
  <w15:docId w15:val="{562BB14A-A894-49A1-9A31-92F824C72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eastAsia="Times New Roman"/>
      <w:lang w:eastAsia="en-US"/>
    </w:rPr>
  </w:style>
  <w:style w:type="paragraph" w:styleId="1">
    <w:name w:val="heading 1"/>
    <w:basedOn w:val="a"/>
    <w:next w:val="spara"/>
    <w:qFormat/>
    <w:rsid w:val="003C3A0C"/>
    <w:pPr>
      <w:keepNext/>
      <w:keepLines/>
      <w:numPr>
        <w:numId w:val="5"/>
      </w:numPr>
      <w:suppressAutoHyphens/>
      <w:spacing w:before="240" w:after="120"/>
      <w:ind w:right="360"/>
      <w:outlineLvl w:val="0"/>
    </w:pPr>
    <w:rPr>
      <w:b/>
      <w:caps/>
      <w:kern w:val="28"/>
    </w:rPr>
  </w:style>
  <w:style w:type="paragraph" w:styleId="2">
    <w:name w:val="heading 2"/>
    <w:basedOn w:val="a"/>
    <w:next w:val="spara"/>
    <w:link w:val="20"/>
    <w:uiPriority w:val="9"/>
    <w:qFormat/>
    <w:rsid w:val="003F6428"/>
    <w:pPr>
      <w:keepNext/>
      <w:numPr>
        <w:ilvl w:val="1"/>
        <w:numId w:val="5"/>
      </w:numPr>
      <w:tabs>
        <w:tab w:val="left" w:pos="432"/>
      </w:tabs>
      <w:spacing w:before="240" w:after="120"/>
      <w:ind w:right="360"/>
      <w:outlineLvl w:val="1"/>
    </w:pPr>
    <w:rPr>
      <w:b/>
    </w:rPr>
  </w:style>
  <w:style w:type="paragraph" w:styleId="3">
    <w:name w:val="heading 3"/>
    <w:basedOn w:val="2"/>
    <w:next w:val="a"/>
    <w:link w:val="31"/>
    <w:uiPriority w:val="9"/>
    <w:qFormat/>
    <w:rsid w:val="003C3A0C"/>
    <w:pPr>
      <w:numPr>
        <w:ilvl w:val="2"/>
      </w:numPr>
      <w:ind w:right="357"/>
      <w:outlineLvl w:val="2"/>
    </w:pPr>
    <w:rPr>
      <w:bCs/>
      <w:i/>
      <w:szCs w:val="26"/>
    </w:rPr>
  </w:style>
  <w:style w:type="paragraph" w:styleId="4">
    <w:name w:val="heading 4"/>
    <w:basedOn w:val="a"/>
    <w:next w:val="a"/>
    <w:link w:val="40"/>
    <w:uiPriority w:val="9"/>
    <w:qFormat/>
    <w:rsid w:val="00A53105"/>
    <w:pPr>
      <w:keepNext/>
      <w:numPr>
        <w:ilvl w:val="3"/>
        <w:numId w:val="5"/>
      </w:numPr>
      <w:spacing w:before="240" w:after="60"/>
      <w:outlineLvl w:val="3"/>
    </w:pPr>
    <w:rPr>
      <w:rFonts w:ascii="Calibri" w:hAnsi="Calibri"/>
      <w:b/>
      <w:bCs/>
      <w:sz w:val="28"/>
      <w:szCs w:val="28"/>
    </w:rPr>
  </w:style>
  <w:style w:type="paragraph" w:styleId="5">
    <w:name w:val="heading 5"/>
    <w:basedOn w:val="a"/>
    <w:next w:val="a"/>
    <w:link w:val="50"/>
    <w:uiPriority w:val="9"/>
    <w:qFormat/>
    <w:rsid w:val="00A53105"/>
    <w:pPr>
      <w:numPr>
        <w:ilvl w:val="4"/>
        <w:numId w:val="5"/>
      </w:numPr>
      <w:spacing w:before="240" w:after="60"/>
      <w:outlineLvl w:val="4"/>
    </w:pPr>
    <w:rPr>
      <w:rFonts w:ascii="Calibri" w:hAnsi="Calibri"/>
      <w:b/>
      <w:bCs/>
      <w:i/>
      <w:iCs/>
      <w:sz w:val="26"/>
      <w:szCs w:val="26"/>
    </w:rPr>
  </w:style>
  <w:style w:type="paragraph" w:styleId="6">
    <w:name w:val="heading 6"/>
    <w:basedOn w:val="a"/>
    <w:next w:val="a"/>
    <w:link w:val="60"/>
    <w:uiPriority w:val="9"/>
    <w:qFormat/>
    <w:rsid w:val="00A53105"/>
    <w:pPr>
      <w:numPr>
        <w:ilvl w:val="5"/>
        <w:numId w:val="5"/>
      </w:numPr>
      <w:spacing w:before="240" w:after="60"/>
      <w:outlineLvl w:val="5"/>
    </w:pPr>
    <w:rPr>
      <w:rFonts w:ascii="Calibri" w:hAnsi="Calibri"/>
      <w:b/>
      <w:bCs/>
      <w:sz w:val="22"/>
      <w:szCs w:val="22"/>
    </w:rPr>
  </w:style>
  <w:style w:type="paragraph" w:styleId="7">
    <w:name w:val="heading 7"/>
    <w:basedOn w:val="a"/>
    <w:next w:val="a"/>
    <w:link w:val="70"/>
    <w:uiPriority w:val="9"/>
    <w:qFormat/>
    <w:rsid w:val="00A53105"/>
    <w:pPr>
      <w:numPr>
        <w:ilvl w:val="6"/>
        <w:numId w:val="5"/>
      </w:numPr>
      <w:spacing w:before="240" w:after="60"/>
      <w:outlineLvl w:val="6"/>
    </w:pPr>
    <w:rPr>
      <w:rFonts w:ascii="Calibri" w:hAnsi="Calibri"/>
      <w:sz w:val="24"/>
      <w:szCs w:val="24"/>
    </w:rPr>
  </w:style>
  <w:style w:type="paragraph" w:styleId="8">
    <w:name w:val="heading 8"/>
    <w:basedOn w:val="a"/>
    <w:next w:val="a"/>
    <w:link w:val="80"/>
    <w:uiPriority w:val="9"/>
    <w:qFormat/>
    <w:rsid w:val="00A53105"/>
    <w:pPr>
      <w:numPr>
        <w:ilvl w:val="7"/>
        <w:numId w:val="5"/>
      </w:numPr>
      <w:spacing w:before="240" w:after="60"/>
      <w:outlineLvl w:val="7"/>
    </w:pPr>
    <w:rPr>
      <w:rFonts w:ascii="Calibri" w:hAnsi="Calibri"/>
      <w:i/>
      <w:iCs/>
      <w:sz w:val="24"/>
      <w:szCs w:val="24"/>
    </w:rPr>
  </w:style>
  <w:style w:type="paragraph" w:styleId="9">
    <w:name w:val="heading 9"/>
    <w:basedOn w:val="a"/>
    <w:next w:val="a"/>
    <w:link w:val="90"/>
    <w:uiPriority w:val="9"/>
    <w:qFormat/>
    <w:rsid w:val="00A53105"/>
    <w:pPr>
      <w:numPr>
        <w:ilvl w:val="8"/>
        <w:numId w:val="5"/>
      </w:num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para">
    <w:name w:val="spara"/>
    <w:basedOn w:val="a"/>
    <w:next w:val="a"/>
    <w:pPr>
      <w:spacing w:line="260" w:lineRule="exact"/>
      <w:jc w:val="both"/>
    </w:pPr>
  </w:style>
  <w:style w:type="paragraph" w:customStyle="1" w:styleId="Author">
    <w:name w:val="Author"/>
    <w:basedOn w:val="a"/>
    <w:next w:val="Affiliation"/>
    <w:pPr>
      <w:keepNext/>
      <w:keepLines/>
      <w:suppressAutoHyphens/>
      <w:jc w:val="center"/>
    </w:pPr>
    <w:rPr>
      <w:caps/>
      <w:sz w:val="18"/>
    </w:rPr>
  </w:style>
  <w:style w:type="paragraph" w:customStyle="1" w:styleId="Affiliation">
    <w:name w:val="Affiliation"/>
    <w:basedOn w:val="a"/>
    <w:next w:val="Abstract"/>
    <w:pPr>
      <w:spacing w:before="60" w:after="320"/>
      <w:jc w:val="center"/>
    </w:pPr>
    <w:rPr>
      <w:i/>
      <w:sz w:val="18"/>
    </w:rPr>
  </w:style>
  <w:style w:type="paragraph" w:customStyle="1" w:styleId="Abstract">
    <w:name w:val="Abstract"/>
    <w:basedOn w:val="a"/>
    <w:next w:val="1"/>
    <w:pPr>
      <w:spacing w:before="120" w:after="120" w:line="200" w:lineRule="atLeast"/>
      <w:ind w:left="360" w:right="360"/>
      <w:jc w:val="both"/>
    </w:pPr>
    <w:rPr>
      <w:sz w:val="16"/>
    </w:rPr>
  </w:style>
  <w:style w:type="paragraph" w:styleId="a3">
    <w:name w:val="Title"/>
    <w:basedOn w:val="a"/>
    <w:next w:val="Author"/>
    <w:autoRedefine/>
    <w:qFormat/>
    <w:pPr>
      <w:keepLines/>
      <w:suppressAutoHyphens/>
      <w:spacing w:line="260" w:lineRule="exact"/>
      <w:jc w:val="center"/>
    </w:pPr>
    <w:rPr>
      <w:b/>
      <w:caps/>
      <w:kern w:val="28"/>
      <w:sz w:val="24"/>
      <w:szCs w:val="24"/>
    </w:rPr>
  </w:style>
  <w:style w:type="paragraph" w:styleId="a4">
    <w:name w:val="caption"/>
    <w:basedOn w:val="a"/>
    <w:next w:val="a"/>
    <w:qFormat/>
    <w:pPr>
      <w:jc w:val="both"/>
    </w:pPr>
    <w:rPr>
      <w:sz w:val="16"/>
    </w:rPr>
  </w:style>
  <w:style w:type="paragraph" w:customStyle="1" w:styleId="NonumHead-1">
    <w:name w:val="NonumHead-1"/>
    <w:basedOn w:val="a"/>
    <w:next w:val="a"/>
    <w:rsid w:val="00A3382A"/>
    <w:pPr>
      <w:keepNext/>
      <w:suppressAutoHyphens/>
      <w:spacing w:before="400" w:after="240"/>
      <w:ind w:right="360"/>
    </w:pPr>
    <w:rPr>
      <w:b/>
      <w:caps/>
    </w:rPr>
  </w:style>
  <w:style w:type="paragraph" w:styleId="a5">
    <w:name w:val="header"/>
    <w:basedOn w:val="a"/>
    <w:semiHidden/>
    <w:pPr>
      <w:tabs>
        <w:tab w:val="center" w:pos="4320"/>
        <w:tab w:val="right" w:pos="8640"/>
      </w:tabs>
    </w:pPr>
  </w:style>
  <w:style w:type="paragraph" w:styleId="a6">
    <w:name w:val="footer"/>
    <w:basedOn w:val="a"/>
    <w:semiHidden/>
    <w:pPr>
      <w:tabs>
        <w:tab w:val="center" w:pos="4320"/>
        <w:tab w:val="right" w:pos="8640"/>
      </w:tabs>
    </w:pPr>
  </w:style>
  <w:style w:type="character" w:styleId="a7">
    <w:name w:val="page number"/>
    <w:basedOn w:val="a0"/>
    <w:semiHidden/>
  </w:style>
  <w:style w:type="paragraph" w:customStyle="1" w:styleId="Equation">
    <w:name w:val="Equation"/>
    <w:basedOn w:val="a"/>
    <w:next w:val="a"/>
    <w:autoRedefine/>
    <w:rsid w:val="00A3382A"/>
    <w:pPr>
      <w:tabs>
        <w:tab w:val="right" w:pos="9072"/>
      </w:tabs>
    </w:pPr>
    <w:rPr>
      <w:sz w:val="22"/>
    </w:rPr>
  </w:style>
  <w:style w:type="paragraph" w:customStyle="1" w:styleId="TextIndent">
    <w:name w:val="Text Indent"/>
    <w:autoRedefine/>
    <w:pPr>
      <w:spacing w:line="260" w:lineRule="exact"/>
      <w:ind w:firstLine="360"/>
      <w:jc w:val="both"/>
    </w:pPr>
    <w:rPr>
      <w:rFonts w:eastAsia="Times New Roman"/>
      <w:lang w:eastAsia="en-US"/>
    </w:rPr>
  </w:style>
  <w:style w:type="paragraph" w:customStyle="1" w:styleId="bodytextpara">
    <w:name w:val="body text para"/>
    <w:basedOn w:val="a"/>
    <w:pPr>
      <w:ind w:firstLine="480"/>
      <w:jc w:val="both"/>
    </w:pPr>
    <w:rPr>
      <w:rFonts w:eastAsia="Batang"/>
      <w:sz w:val="22"/>
    </w:rPr>
  </w:style>
  <w:style w:type="character" w:customStyle="1" w:styleId="textnews1">
    <w:name w:val="textnews1"/>
    <w:rPr>
      <w:rFonts w:ascii="Verdana" w:hAnsi="Verdana" w:hint="default"/>
      <w:strike w:val="0"/>
      <w:dstrike w:val="0"/>
      <w:color w:val="000000"/>
      <w:sz w:val="18"/>
      <w:szCs w:val="18"/>
      <w:u w:val="none"/>
      <w:effect w:val="none"/>
    </w:rPr>
  </w:style>
  <w:style w:type="paragraph" w:customStyle="1" w:styleId="references">
    <w:name w:val="references"/>
    <w:basedOn w:val="Equation"/>
    <w:pPr>
      <w:spacing w:before="20" w:after="20"/>
    </w:pPr>
    <w:rPr>
      <w:rFonts w:eastAsia="Batang"/>
      <w:sz w:val="18"/>
    </w:rPr>
  </w:style>
  <w:style w:type="character" w:styleId="a8">
    <w:name w:val="Hyperlink"/>
    <w:semiHidden/>
    <w:rPr>
      <w:color w:val="0000FF"/>
      <w:u w:val="single"/>
    </w:rPr>
  </w:style>
  <w:style w:type="character" w:customStyle="1" w:styleId="31">
    <w:name w:val="标题 3 字符1"/>
    <w:link w:val="3"/>
    <w:uiPriority w:val="9"/>
    <w:rsid w:val="003C3A0C"/>
    <w:rPr>
      <w:rFonts w:eastAsia="Times New Roman"/>
      <w:b/>
      <w:bCs/>
      <w:i/>
      <w:szCs w:val="26"/>
      <w:lang w:val="en-US" w:eastAsia="en-US"/>
    </w:rPr>
  </w:style>
  <w:style w:type="character" w:customStyle="1" w:styleId="40">
    <w:name w:val="标题 4 字符"/>
    <w:link w:val="4"/>
    <w:uiPriority w:val="9"/>
    <w:semiHidden/>
    <w:rsid w:val="00A53105"/>
    <w:rPr>
      <w:rFonts w:ascii="Calibri" w:eastAsia="Times New Roman" w:hAnsi="Calibri" w:cs="Times New Roman"/>
      <w:b/>
      <w:bCs/>
      <w:sz w:val="28"/>
      <w:szCs w:val="28"/>
      <w:lang w:val="en-US" w:eastAsia="en-US"/>
    </w:rPr>
  </w:style>
  <w:style w:type="character" w:customStyle="1" w:styleId="50">
    <w:name w:val="标题 5 字符"/>
    <w:link w:val="5"/>
    <w:uiPriority w:val="9"/>
    <w:semiHidden/>
    <w:rsid w:val="00A53105"/>
    <w:rPr>
      <w:rFonts w:ascii="Calibri" w:eastAsia="Times New Roman" w:hAnsi="Calibri" w:cs="Times New Roman"/>
      <w:b/>
      <w:bCs/>
      <w:i/>
      <w:iCs/>
      <w:sz w:val="26"/>
      <w:szCs w:val="26"/>
      <w:lang w:val="en-US" w:eastAsia="en-US"/>
    </w:rPr>
  </w:style>
  <w:style w:type="character" w:customStyle="1" w:styleId="60">
    <w:name w:val="标题 6 字符"/>
    <w:link w:val="6"/>
    <w:uiPriority w:val="9"/>
    <w:semiHidden/>
    <w:rsid w:val="00A53105"/>
    <w:rPr>
      <w:rFonts w:ascii="Calibri" w:eastAsia="Times New Roman" w:hAnsi="Calibri" w:cs="Times New Roman"/>
      <w:b/>
      <w:bCs/>
      <w:sz w:val="22"/>
      <w:szCs w:val="22"/>
      <w:lang w:val="en-US" w:eastAsia="en-US"/>
    </w:rPr>
  </w:style>
  <w:style w:type="character" w:customStyle="1" w:styleId="70">
    <w:name w:val="标题 7 字符"/>
    <w:link w:val="7"/>
    <w:uiPriority w:val="9"/>
    <w:semiHidden/>
    <w:rsid w:val="00A53105"/>
    <w:rPr>
      <w:rFonts w:ascii="Calibri" w:eastAsia="Times New Roman" w:hAnsi="Calibri" w:cs="Times New Roman"/>
      <w:sz w:val="24"/>
      <w:szCs w:val="24"/>
      <w:lang w:val="en-US" w:eastAsia="en-US"/>
    </w:rPr>
  </w:style>
  <w:style w:type="character" w:customStyle="1" w:styleId="80">
    <w:name w:val="标题 8 字符"/>
    <w:link w:val="8"/>
    <w:uiPriority w:val="9"/>
    <w:semiHidden/>
    <w:rsid w:val="00A53105"/>
    <w:rPr>
      <w:rFonts w:ascii="Calibri" w:eastAsia="Times New Roman" w:hAnsi="Calibri" w:cs="Times New Roman"/>
      <w:i/>
      <w:iCs/>
      <w:sz w:val="24"/>
      <w:szCs w:val="24"/>
      <w:lang w:val="en-US" w:eastAsia="en-US"/>
    </w:rPr>
  </w:style>
  <w:style w:type="character" w:customStyle="1" w:styleId="90">
    <w:name w:val="标题 9 字符"/>
    <w:link w:val="9"/>
    <w:uiPriority w:val="9"/>
    <w:semiHidden/>
    <w:rsid w:val="00A53105"/>
    <w:rPr>
      <w:rFonts w:ascii="Cambria" w:eastAsia="Times New Roman" w:hAnsi="Cambria" w:cs="Times New Roman"/>
      <w:sz w:val="22"/>
      <w:szCs w:val="22"/>
      <w:lang w:val="en-US" w:eastAsia="en-US"/>
    </w:rPr>
  </w:style>
  <w:style w:type="character" w:styleId="a9">
    <w:name w:val="FollowedHyperlink"/>
    <w:uiPriority w:val="99"/>
    <w:semiHidden/>
    <w:unhideWhenUsed/>
    <w:rsid w:val="00347CB4"/>
    <w:rPr>
      <w:color w:val="800080"/>
      <w:u w:val="single"/>
    </w:rPr>
  </w:style>
  <w:style w:type="paragraph" w:styleId="aa">
    <w:name w:val="Balloon Text"/>
    <w:basedOn w:val="a"/>
    <w:link w:val="ab"/>
    <w:uiPriority w:val="99"/>
    <w:semiHidden/>
    <w:unhideWhenUsed/>
    <w:rsid w:val="006D6418"/>
    <w:rPr>
      <w:rFonts w:ascii="Tahoma" w:hAnsi="Tahoma" w:cs="Tahoma"/>
      <w:sz w:val="16"/>
      <w:szCs w:val="16"/>
    </w:rPr>
  </w:style>
  <w:style w:type="character" w:customStyle="1" w:styleId="ab">
    <w:name w:val="批注框文本 字符"/>
    <w:link w:val="aa"/>
    <w:uiPriority w:val="99"/>
    <w:semiHidden/>
    <w:rsid w:val="006D6418"/>
    <w:rPr>
      <w:rFonts w:ascii="Tahoma" w:eastAsia="Times New Roman" w:hAnsi="Tahoma" w:cs="Tahoma"/>
      <w:sz w:val="16"/>
      <w:szCs w:val="16"/>
      <w:lang w:val="en-US" w:eastAsia="en-US"/>
    </w:rPr>
  </w:style>
  <w:style w:type="table" w:styleId="ac">
    <w:name w:val="Table Grid"/>
    <w:basedOn w:val="a1"/>
    <w:uiPriority w:val="39"/>
    <w:rsid w:val="00E80013"/>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标题 3 字符"/>
    <w:basedOn w:val="a0"/>
    <w:uiPriority w:val="9"/>
    <w:qFormat/>
    <w:rsid w:val="001D6D74"/>
    <w:rPr>
      <w:rFonts w:ascii="Times New Roman" w:hAnsi="Times New Roman" w:cs="Times New Roman"/>
      <w:b/>
      <w:sz w:val="24"/>
    </w:rPr>
  </w:style>
  <w:style w:type="character" w:customStyle="1" w:styleId="AMEquationSection">
    <w:name w:val="AMEquationSection"/>
    <w:basedOn w:val="a0"/>
    <w:rsid w:val="001D6D74"/>
    <w:rPr>
      <w:vanish/>
      <w:color w:val="FF0000"/>
    </w:rPr>
  </w:style>
  <w:style w:type="paragraph" w:customStyle="1" w:styleId="AMDisplayEquation">
    <w:name w:val="AMDisplayEquation"/>
    <w:basedOn w:val="a"/>
    <w:next w:val="a"/>
    <w:link w:val="AMDisplayEquation0"/>
    <w:rsid w:val="001D6D74"/>
    <w:pPr>
      <w:tabs>
        <w:tab w:val="center" w:pos="4540"/>
        <w:tab w:val="right" w:pos="9080"/>
      </w:tabs>
    </w:pPr>
  </w:style>
  <w:style w:type="character" w:customStyle="1" w:styleId="AMDisplayEquation0">
    <w:name w:val="AMDisplayEquation 字符"/>
    <w:basedOn w:val="a0"/>
    <w:link w:val="AMDisplayEquation"/>
    <w:rsid w:val="001D6D74"/>
    <w:rPr>
      <w:rFonts w:eastAsia="Times New Roman"/>
      <w:lang w:eastAsia="en-US"/>
    </w:rPr>
  </w:style>
  <w:style w:type="character" w:customStyle="1" w:styleId="20">
    <w:name w:val="标题 2 字符"/>
    <w:basedOn w:val="a0"/>
    <w:link w:val="2"/>
    <w:uiPriority w:val="9"/>
    <w:qFormat/>
    <w:rsid w:val="005A5F54"/>
    <w:rPr>
      <w:rFonts w:eastAsia="Times New Roman"/>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8.wmf"/><Relationship Id="rId42" Type="http://schemas.openxmlformats.org/officeDocument/2006/relationships/oleObject" Target="embeddings/oleObject19.bin"/><Relationship Id="rId47" Type="http://schemas.openxmlformats.org/officeDocument/2006/relationships/image" Target="media/image19.png"/><Relationship Id="rId63" Type="http://schemas.openxmlformats.org/officeDocument/2006/relationships/oleObject" Target="embeddings/oleObject30.bin"/><Relationship Id="rId68" Type="http://schemas.openxmlformats.org/officeDocument/2006/relationships/oleObject" Target="embeddings/oleObject33.bin"/><Relationship Id="rId84" Type="http://schemas.openxmlformats.org/officeDocument/2006/relationships/oleObject" Target="embeddings/oleObject42.bin"/><Relationship Id="rId89" Type="http://schemas.openxmlformats.org/officeDocument/2006/relationships/image" Target="media/image38.wmf"/><Relationship Id="rId16" Type="http://schemas.openxmlformats.org/officeDocument/2006/relationships/oleObject" Target="embeddings/oleObject4.bin"/><Relationship Id="rId11" Type="http://schemas.openxmlformats.org/officeDocument/2006/relationships/image" Target="media/image3.wmf"/><Relationship Id="rId32" Type="http://schemas.openxmlformats.org/officeDocument/2006/relationships/image" Target="media/image13.wmf"/><Relationship Id="rId37" Type="http://schemas.openxmlformats.org/officeDocument/2006/relationships/oleObject" Target="embeddings/oleObject16.bin"/><Relationship Id="rId53" Type="http://schemas.openxmlformats.org/officeDocument/2006/relationships/oleObject" Target="embeddings/oleObject24.bin"/><Relationship Id="rId58" Type="http://schemas.openxmlformats.org/officeDocument/2006/relationships/image" Target="media/image25.wmf"/><Relationship Id="rId74" Type="http://schemas.openxmlformats.org/officeDocument/2006/relationships/image" Target="media/image31.wmf"/><Relationship Id="rId79" Type="http://schemas.openxmlformats.org/officeDocument/2006/relationships/image" Target="media/image33.wmf"/><Relationship Id="rId5" Type="http://schemas.openxmlformats.org/officeDocument/2006/relationships/webSettings" Target="webSettings.xml"/><Relationship Id="rId90" Type="http://schemas.openxmlformats.org/officeDocument/2006/relationships/oleObject" Target="embeddings/oleObject45.bin"/><Relationship Id="rId95" Type="http://schemas.openxmlformats.org/officeDocument/2006/relationships/image" Target="media/image41.png"/><Relationship Id="rId22" Type="http://schemas.openxmlformats.org/officeDocument/2006/relationships/oleObject" Target="embeddings/oleObject7.bin"/><Relationship Id="rId27" Type="http://schemas.openxmlformats.org/officeDocument/2006/relationships/oleObject" Target="embeddings/oleObject10.bin"/><Relationship Id="rId43" Type="http://schemas.openxmlformats.org/officeDocument/2006/relationships/image" Target="media/image17.wmf"/><Relationship Id="rId48" Type="http://schemas.openxmlformats.org/officeDocument/2006/relationships/image" Target="media/image20.wmf"/><Relationship Id="rId64" Type="http://schemas.openxmlformats.org/officeDocument/2006/relationships/oleObject" Target="embeddings/oleObject31.bin"/><Relationship Id="rId69" Type="http://schemas.openxmlformats.org/officeDocument/2006/relationships/image" Target="media/image29.wmf"/><Relationship Id="rId80" Type="http://schemas.openxmlformats.org/officeDocument/2006/relationships/oleObject" Target="embeddings/oleObject40.bin"/><Relationship Id="rId85" Type="http://schemas.openxmlformats.org/officeDocument/2006/relationships/image" Target="media/image36.wmf"/><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oleObject" Target="embeddings/oleObject13.bin"/><Relationship Id="rId38" Type="http://schemas.openxmlformats.org/officeDocument/2006/relationships/image" Target="media/image15.wmf"/><Relationship Id="rId46" Type="http://schemas.openxmlformats.org/officeDocument/2006/relationships/oleObject" Target="embeddings/oleObject21.bin"/><Relationship Id="rId59" Type="http://schemas.openxmlformats.org/officeDocument/2006/relationships/oleObject" Target="embeddings/oleObject27.bin"/><Relationship Id="rId67" Type="http://schemas.openxmlformats.org/officeDocument/2006/relationships/image" Target="media/image28.wmf"/><Relationship Id="rId20" Type="http://schemas.openxmlformats.org/officeDocument/2006/relationships/oleObject" Target="embeddings/oleObject6.bin"/><Relationship Id="rId41" Type="http://schemas.openxmlformats.org/officeDocument/2006/relationships/image" Target="media/image16.wmf"/><Relationship Id="rId54" Type="http://schemas.openxmlformats.org/officeDocument/2006/relationships/image" Target="media/image23.wmf"/><Relationship Id="rId62" Type="http://schemas.openxmlformats.org/officeDocument/2006/relationships/oleObject" Target="embeddings/oleObject29.bin"/><Relationship Id="rId70" Type="http://schemas.openxmlformats.org/officeDocument/2006/relationships/oleObject" Target="embeddings/oleObject34.bin"/><Relationship Id="rId75" Type="http://schemas.openxmlformats.org/officeDocument/2006/relationships/oleObject" Target="embeddings/oleObject37.bin"/><Relationship Id="rId83" Type="http://schemas.openxmlformats.org/officeDocument/2006/relationships/image" Target="media/image35.wmf"/><Relationship Id="rId88" Type="http://schemas.openxmlformats.org/officeDocument/2006/relationships/oleObject" Target="embeddings/oleObject44.bin"/><Relationship Id="rId91" Type="http://schemas.openxmlformats.org/officeDocument/2006/relationships/oleObject" Target="embeddings/oleObject46.bin"/><Relationship Id="rId96"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image" Target="media/image11.wmf"/><Relationship Id="rId36" Type="http://schemas.openxmlformats.org/officeDocument/2006/relationships/oleObject" Target="embeddings/oleObject15.bin"/><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oleObject" Target="embeddings/oleObject1.bin"/><Relationship Id="rId31" Type="http://schemas.openxmlformats.org/officeDocument/2006/relationships/oleObject" Target="embeddings/oleObject12.bin"/><Relationship Id="rId44" Type="http://schemas.openxmlformats.org/officeDocument/2006/relationships/oleObject" Target="embeddings/oleObject20.bin"/><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image" Target="media/image27.wmf"/><Relationship Id="rId73" Type="http://schemas.openxmlformats.org/officeDocument/2006/relationships/oleObject" Target="embeddings/oleObject36.bin"/><Relationship Id="rId78" Type="http://schemas.openxmlformats.org/officeDocument/2006/relationships/oleObject" Target="embeddings/oleObject39.bin"/><Relationship Id="rId81" Type="http://schemas.openxmlformats.org/officeDocument/2006/relationships/image" Target="media/image34.wmf"/><Relationship Id="rId86" Type="http://schemas.openxmlformats.org/officeDocument/2006/relationships/oleObject" Target="embeddings/oleObject43.bin"/><Relationship Id="rId94" Type="http://schemas.openxmlformats.org/officeDocument/2006/relationships/image" Target="media/image40.pn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oleObject" Target="embeddings/oleObject17.bin"/><Relationship Id="rId34" Type="http://schemas.openxmlformats.org/officeDocument/2006/relationships/oleObject" Target="embeddings/oleObject14.bin"/><Relationship Id="rId50" Type="http://schemas.openxmlformats.org/officeDocument/2006/relationships/image" Target="media/image21.wmf"/><Relationship Id="rId55" Type="http://schemas.openxmlformats.org/officeDocument/2006/relationships/oleObject" Target="embeddings/oleObject25.bin"/><Relationship Id="rId76" Type="http://schemas.openxmlformats.org/officeDocument/2006/relationships/oleObject" Target="embeddings/oleObject38.bin"/><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oleObject" Target="embeddings/oleObject8.bin"/><Relationship Id="rId40" Type="http://schemas.openxmlformats.org/officeDocument/2006/relationships/oleObject" Target="embeddings/oleObject18.bin"/><Relationship Id="rId45" Type="http://schemas.openxmlformats.org/officeDocument/2006/relationships/image" Target="media/image18.wmf"/><Relationship Id="rId66" Type="http://schemas.openxmlformats.org/officeDocument/2006/relationships/oleObject" Target="embeddings/oleObject32.bin"/><Relationship Id="rId87" Type="http://schemas.openxmlformats.org/officeDocument/2006/relationships/image" Target="media/image37.wmf"/><Relationship Id="rId61" Type="http://schemas.openxmlformats.org/officeDocument/2006/relationships/oleObject" Target="embeddings/oleObject28.bin"/><Relationship Id="rId82" Type="http://schemas.openxmlformats.org/officeDocument/2006/relationships/oleObject" Target="embeddings/oleObject41.bin"/><Relationship Id="rId19" Type="http://schemas.openxmlformats.org/officeDocument/2006/relationships/image" Target="media/image7.wmf"/><Relationship Id="rId14" Type="http://schemas.openxmlformats.org/officeDocument/2006/relationships/oleObject" Target="embeddings/oleObject3.bin"/><Relationship Id="rId30" Type="http://schemas.openxmlformats.org/officeDocument/2006/relationships/image" Target="media/image12.wmf"/><Relationship Id="rId35" Type="http://schemas.openxmlformats.org/officeDocument/2006/relationships/image" Target="media/image14.wmf"/><Relationship Id="rId56" Type="http://schemas.openxmlformats.org/officeDocument/2006/relationships/image" Target="media/image24.wmf"/><Relationship Id="rId77" Type="http://schemas.openxmlformats.org/officeDocument/2006/relationships/image" Target="media/image32.wmf"/><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23.bin"/><Relationship Id="rId72" Type="http://schemas.openxmlformats.org/officeDocument/2006/relationships/oleObject" Target="embeddings/oleObject35.bin"/><Relationship Id="rId93" Type="http://schemas.openxmlformats.org/officeDocument/2006/relationships/oleObject" Target="embeddings/oleObject47.bin"/><Relationship Id="rId98" Type="http://schemas.openxmlformats.org/officeDocument/2006/relationships/header" Target="header2.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242DE-5F80-45D5-8AA6-402581AC2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10</Pages>
  <Words>4236</Words>
  <Characters>24151</Characters>
  <Application>Microsoft Office Word</Application>
  <DocSecurity>0</DocSecurity>
  <Lines>201</Lines>
  <Paragraphs>56</Paragraphs>
  <ScaleCrop>false</ScaleCrop>
  <HeadingPairs>
    <vt:vector size="10" baseType="variant">
      <vt:variant>
        <vt:lpstr>タイトル</vt:lpstr>
      </vt:variant>
      <vt:variant>
        <vt:i4>1</vt:i4>
      </vt:variant>
      <vt:variant>
        <vt:lpstr>标题</vt:lpstr>
      </vt:variant>
      <vt:variant>
        <vt:i4>12</vt:i4>
      </vt:variant>
      <vt:variant>
        <vt:lpstr>Title</vt:lpstr>
      </vt:variant>
      <vt:variant>
        <vt:i4>1</vt:i4>
      </vt:variant>
      <vt:variant>
        <vt:lpstr>Tittel</vt:lpstr>
      </vt:variant>
      <vt:variant>
        <vt:i4>1</vt:i4>
      </vt:variant>
      <vt:variant>
        <vt:lpstr>Titel</vt:lpstr>
      </vt:variant>
      <vt:variant>
        <vt:i4>1</vt:i4>
      </vt:variant>
    </vt:vector>
  </HeadingPairs>
  <TitlesOfParts>
    <vt:vector size="16" baseType="lpstr">
      <vt:lpstr>Paper template for HIC2004</vt:lpstr>
      <vt:lpstr>INTRODUCTION </vt:lpstr>
      <vt:lpstr>MATERIALS AND METHODS</vt:lpstr>
      <vt:lpstr>    Create the paper using MS-Word</vt:lpstr>
      <vt:lpstr>    Numerical Modeling</vt:lpstr>
      <vt:lpstr>        Surface water model</vt:lpstr>
      <vt:lpstr>        Groundwater model</vt:lpstr>
      <vt:lpstr>        Multicomponent reactive transport model</vt:lpstr>
      <vt:lpstr>RESULTS AND DISCUSSION</vt:lpstr>
      <vt:lpstr>    Spatial distribution of DOC, O2, and NO3 in the streambed</vt:lpstr>
      <vt:lpstr>    Reaction rates in the streambed</vt:lpstr>
      <vt:lpstr>    Nitrate removal efficiency of hyporheic zone</vt:lpstr>
      <vt:lpstr>CONCLUSIONS</vt:lpstr>
      <vt:lpstr>Paper template for HIC2004</vt:lpstr>
      <vt:lpstr>Paper template for HIC2004</vt:lpstr>
      <vt:lpstr>Paper template for HIC2004</vt:lpstr>
    </vt:vector>
  </TitlesOfParts>
  <Company>NUS</Company>
  <LinksUpToDate>false</LinksUpToDate>
  <CharactersWithSpaces>28331</CharactersWithSpaces>
  <SharedDoc>false</SharedDoc>
  <HLinks>
    <vt:vector size="12" baseType="variant">
      <vt:variant>
        <vt:i4>5046293</vt:i4>
      </vt:variant>
      <vt:variant>
        <vt:i4>12</vt:i4>
      </vt:variant>
      <vt:variant>
        <vt:i4>0</vt:i4>
      </vt:variant>
      <vt:variant>
        <vt:i4>5</vt:i4>
      </vt:variant>
      <vt:variant>
        <vt:lpwstr>http://www.include.web.address.if.available/</vt:lpwstr>
      </vt:variant>
      <vt:variant>
        <vt:lpwstr/>
      </vt:variant>
      <vt:variant>
        <vt:i4>5046293</vt:i4>
      </vt:variant>
      <vt:variant>
        <vt:i4>9</vt:i4>
      </vt:variant>
      <vt:variant>
        <vt:i4>0</vt:i4>
      </vt:variant>
      <vt:variant>
        <vt:i4>5</vt:i4>
      </vt:variant>
      <vt:variant>
        <vt:lpwstr>http://www.include.web.address.if.available/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 for HIC2004</dc:title>
  <dc:subject/>
  <dc:creator>HIC2004</dc:creator>
  <cp:keywords/>
  <cp:lastModifiedBy>睿禹 王</cp:lastModifiedBy>
  <cp:revision>12</cp:revision>
  <cp:lastPrinted>2013-12-19T14:46:00Z</cp:lastPrinted>
  <dcterms:created xsi:type="dcterms:W3CDTF">2022-10-03T15:35:00Z</dcterms:created>
  <dcterms:modified xsi:type="dcterms:W3CDTF">2022-10-07T10:10:00Z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AMEquationNumber2">
    <vt:lpwstr>(#E1)</vt:lpwstr>
  </property>
  <property fmtid="{D5CDD505-2E9C-101B-9397-08002B2CF9AE}" pid="4" name="AMCustomEquationNumber">
    <vt:lpwstr>1</vt:lpwstr>
  </property>
  <property fmtid="{D5CDD505-2E9C-101B-9397-08002B2CF9AE}" pid="5" name="AMEquationSection">
    <vt:lpwstr>1</vt:lpwstr>
  </property>
  <property fmtid="{D5CDD505-2E9C-101B-9397-08002B2CF9AE}" pid="6" name="AMWinEqns">
    <vt:bool>true</vt:bool>
  </property>
</Properties>
</file>