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470222A3" w:rsidR="007B5549" w:rsidRPr="00D73EA2" w:rsidRDefault="61D3DD23" w:rsidP="6E1341A0">
      <w:pPr>
        <w:jc w:val="center"/>
        <w:rPr>
          <w:sz w:val="36"/>
          <w:szCs w:val="36"/>
          <w:lang w:val="en-GB"/>
        </w:rPr>
      </w:pPr>
      <w:r w:rsidRPr="00D73EA2">
        <w:rPr>
          <w:sz w:val="32"/>
          <w:szCs w:val="32"/>
          <w:lang w:val="en-GB"/>
        </w:rPr>
        <w:t>IAHR Technical Committee on Transient Flows</w:t>
      </w:r>
    </w:p>
    <w:p w14:paraId="17F4956B" w14:textId="20B10AD1" w:rsidR="620BC13E" w:rsidRPr="00D73EA2" w:rsidRDefault="21C07411" w:rsidP="6E1341A0">
      <w:pPr>
        <w:jc w:val="center"/>
        <w:rPr>
          <w:sz w:val="36"/>
          <w:szCs w:val="36"/>
          <w:lang w:val="en-GB"/>
        </w:rPr>
      </w:pPr>
      <w:r w:rsidRPr="00D73EA2">
        <w:rPr>
          <w:sz w:val="32"/>
          <w:szCs w:val="32"/>
          <w:lang w:val="en-GB"/>
        </w:rPr>
        <w:t>(meeting 26-11-2025, Vitoria, Brazil)</w:t>
      </w:r>
    </w:p>
    <w:p w14:paraId="68D373BC" w14:textId="3C38EE77" w:rsidR="69DF61A8" w:rsidRPr="00D73EA2" w:rsidRDefault="69DF61A8" w:rsidP="69DF61A8">
      <w:pPr>
        <w:rPr>
          <w:lang w:val="en-GB"/>
        </w:rPr>
      </w:pPr>
    </w:p>
    <w:p w14:paraId="609ACCBD" w14:textId="088923E8" w:rsidR="620BC13E" w:rsidRDefault="620BC13E" w:rsidP="7F196ACB">
      <w:pPr>
        <w:rPr>
          <w:lang w:val="pt-BR"/>
        </w:rPr>
      </w:pPr>
      <w:proofErr w:type="spellStart"/>
      <w:r w:rsidRPr="7F196ACB">
        <w:rPr>
          <w:b/>
          <w:bCs/>
          <w:lang w:val="pt-BR"/>
        </w:rPr>
        <w:t>Attendees</w:t>
      </w:r>
      <w:proofErr w:type="spellEnd"/>
      <w:r w:rsidRPr="7F196ACB">
        <w:rPr>
          <w:b/>
          <w:bCs/>
          <w:lang w:val="pt-BR"/>
        </w:rPr>
        <w:t xml:space="preserve">: </w:t>
      </w:r>
      <w:r w:rsidR="3B28F034" w:rsidRPr="7F196ACB">
        <w:rPr>
          <w:lang w:val="pt-BR"/>
        </w:rPr>
        <w:t xml:space="preserve">Bruno </w:t>
      </w:r>
      <w:proofErr w:type="spellStart"/>
      <w:r w:rsidR="3B28F034" w:rsidRPr="7F196ACB">
        <w:rPr>
          <w:lang w:val="pt-BR"/>
        </w:rPr>
        <w:t>Brunone</w:t>
      </w:r>
      <w:proofErr w:type="spellEnd"/>
      <w:r w:rsidR="3B28F034" w:rsidRPr="7F196ACB">
        <w:rPr>
          <w:lang w:val="pt-BR"/>
        </w:rPr>
        <w:t xml:space="preserve">, </w:t>
      </w:r>
      <w:r w:rsidRPr="7F196ACB">
        <w:rPr>
          <w:lang w:val="pt-BR"/>
        </w:rPr>
        <w:t xml:space="preserve">Silvia Meniconi, Caterina </w:t>
      </w:r>
      <w:proofErr w:type="spellStart"/>
      <w:r w:rsidRPr="7F196ACB">
        <w:rPr>
          <w:lang w:val="pt-BR"/>
        </w:rPr>
        <w:t>Capponi</w:t>
      </w:r>
      <w:proofErr w:type="spellEnd"/>
      <w:r w:rsidRPr="7F196ACB">
        <w:rPr>
          <w:lang w:val="pt-BR"/>
        </w:rPr>
        <w:t xml:space="preserve">, Alexandre Soares, </w:t>
      </w:r>
      <w:r w:rsidR="7FB5169B" w:rsidRPr="7F196ACB">
        <w:rPr>
          <w:lang w:val="pt-BR"/>
        </w:rPr>
        <w:t xml:space="preserve">José Vasconcelos, José </w:t>
      </w:r>
      <w:proofErr w:type="spellStart"/>
      <w:r w:rsidR="7FB5169B" w:rsidRPr="7F196ACB">
        <w:rPr>
          <w:lang w:val="pt-BR"/>
        </w:rPr>
        <w:t>Adrias</w:t>
      </w:r>
      <w:r w:rsidR="303BD9E7" w:rsidRPr="7F196ACB">
        <w:rPr>
          <w:lang w:val="pt-BR"/>
        </w:rPr>
        <w:t>ola</w:t>
      </w:r>
      <w:proofErr w:type="spellEnd"/>
      <w:r w:rsidR="303BD9E7" w:rsidRPr="7F196ACB">
        <w:rPr>
          <w:lang w:val="pt-BR"/>
        </w:rPr>
        <w:t xml:space="preserve">, </w:t>
      </w:r>
      <w:r w:rsidR="330D5D54" w:rsidRPr="7F196ACB">
        <w:rPr>
          <w:lang w:val="pt-BR"/>
        </w:rPr>
        <w:t xml:space="preserve">Debora </w:t>
      </w:r>
      <w:proofErr w:type="spellStart"/>
      <w:r w:rsidR="330D5D54" w:rsidRPr="7F196ACB">
        <w:rPr>
          <w:lang w:val="pt-BR"/>
        </w:rPr>
        <w:t>Falocci</w:t>
      </w:r>
      <w:proofErr w:type="spellEnd"/>
      <w:r w:rsidR="330D5D54" w:rsidRPr="7F196ACB">
        <w:rPr>
          <w:lang w:val="pt-BR"/>
        </w:rPr>
        <w:t xml:space="preserve">, </w:t>
      </w:r>
      <w:r w:rsidR="768C317D" w:rsidRPr="7F196ACB">
        <w:rPr>
          <w:lang w:val="pt-BR"/>
        </w:rPr>
        <w:t xml:space="preserve">Elizabeth Pauline </w:t>
      </w:r>
      <w:proofErr w:type="spellStart"/>
      <w:r w:rsidR="768C317D" w:rsidRPr="7F196ACB">
        <w:rPr>
          <w:lang w:val="pt-BR"/>
        </w:rPr>
        <w:t>Carreño</w:t>
      </w:r>
      <w:proofErr w:type="spellEnd"/>
      <w:r w:rsidR="768C317D" w:rsidRPr="7F196ACB">
        <w:rPr>
          <w:lang w:val="pt-BR"/>
        </w:rPr>
        <w:t xml:space="preserve">, </w:t>
      </w:r>
      <w:r w:rsidR="1C7FE481" w:rsidRPr="7F196ACB">
        <w:rPr>
          <w:lang w:val="pt-BR"/>
        </w:rPr>
        <w:t xml:space="preserve">Renzo de Freitas DUSI, </w:t>
      </w:r>
      <w:r w:rsidR="23974995" w:rsidRPr="00CD5636">
        <w:rPr>
          <w:lang w:val="pt-BR"/>
        </w:rPr>
        <w:t xml:space="preserve">Guilherme Henrique </w:t>
      </w:r>
      <w:proofErr w:type="spellStart"/>
      <w:r w:rsidR="23974995" w:rsidRPr="00CD5636">
        <w:rPr>
          <w:lang w:val="pt-BR"/>
        </w:rPr>
        <w:t>Fiorot</w:t>
      </w:r>
      <w:proofErr w:type="spellEnd"/>
      <w:r w:rsidR="23974995" w:rsidRPr="00CD5636">
        <w:rPr>
          <w:lang w:val="pt-BR"/>
        </w:rPr>
        <w:t xml:space="preserve">, </w:t>
      </w:r>
      <w:r w:rsidR="37465398" w:rsidRPr="00CD5636">
        <w:rPr>
          <w:lang w:val="pt-BR"/>
        </w:rPr>
        <w:t xml:space="preserve">Daniela </w:t>
      </w:r>
      <w:r w:rsidR="1E891CFD" w:rsidRPr="00CD5636">
        <w:rPr>
          <w:lang w:val="pt-BR"/>
        </w:rPr>
        <w:t xml:space="preserve">B. </w:t>
      </w:r>
      <w:proofErr w:type="spellStart"/>
      <w:r w:rsidR="1E891CFD" w:rsidRPr="00CD5636">
        <w:rPr>
          <w:lang w:val="pt-BR"/>
        </w:rPr>
        <w:t>Sodek</w:t>
      </w:r>
      <w:proofErr w:type="spellEnd"/>
      <w:r w:rsidR="1E891CFD" w:rsidRPr="00CD5636">
        <w:rPr>
          <w:lang w:val="pt-BR"/>
        </w:rPr>
        <w:t xml:space="preserve">, </w:t>
      </w:r>
      <w:r w:rsidR="768C317D" w:rsidRPr="7F196ACB">
        <w:rPr>
          <w:lang w:val="pt-BR"/>
        </w:rPr>
        <w:t>David Ferras.</w:t>
      </w:r>
    </w:p>
    <w:p w14:paraId="2845D058" w14:textId="2089E65E" w:rsidR="69DF61A8" w:rsidRPr="00D73EA2" w:rsidRDefault="69DF61A8">
      <w:pPr>
        <w:rPr>
          <w:lang w:val="en-GB"/>
        </w:rPr>
      </w:pPr>
    </w:p>
    <w:p w14:paraId="76F4D9E7" w14:textId="56F87ED7" w:rsidR="72C2D78E" w:rsidRDefault="72C2D78E" w:rsidP="6E1341A0">
      <w:pPr>
        <w:rPr>
          <w:b/>
          <w:bCs/>
          <w:lang w:val="en-US"/>
        </w:rPr>
      </w:pPr>
      <w:r w:rsidRPr="6E1341A0">
        <w:rPr>
          <w:b/>
          <w:bCs/>
          <w:lang w:val="en-US"/>
        </w:rPr>
        <w:t>Communications and updates:</w:t>
      </w:r>
    </w:p>
    <w:p w14:paraId="6A3110CC" w14:textId="14427ED5" w:rsidR="3089A80A" w:rsidRDefault="3089A80A" w:rsidP="69DF61A8">
      <w:pPr>
        <w:pStyle w:val="Prrafodelista"/>
        <w:numPr>
          <w:ilvl w:val="0"/>
          <w:numId w:val="3"/>
        </w:numPr>
        <w:rPr>
          <w:lang w:val="en-US"/>
        </w:rPr>
      </w:pPr>
      <w:r w:rsidRPr="69DF61A8">
        <w:rPr>
          <w:lang w:val="en-US"/>
        </w:rPr>
        <w:t>Silvia</w:t>
      </w:r>
      <w:r w:rsidR="07B19367" w:rsidRPr="69DF61A8">
        <w:rPr>
          <w:lang w:val="en-US"/>
        </w:rPr>
        <w:t xml:space="preserve"> announces the upgrade of the WG to TC and</w:t>
      </w:r>
      <w:r w:rsidRPr="69DF61A8">
        <w:rPr>
          <w:lang w:val="en-US"/>
        </w:rPr>
        <w:t xml:space="preserve"> provides a short overview of the activities carried out during her leadership, such as special sessions in IAHR congresses, trainings, and the progress </w:t>
      </w:r>
      <w:r w:rsidR="41E48F72" w:rsidRPr="69DF61A8">
        <w:rPr>
          <w:lang w:val="en-US"/>
        </w:rPr>
        <w:t>on the IAHR Monograph on transient flows, which first draft is ready.</w:t>
      </w:r>
    </w:p>
    <w:p w14:paraId="1EEA1161" w14:textId="585E3C2B" w:rsidR="41E48F72" w:rsidRDefault="05FEF874" w:rsidP="69DF61A8">
      <w:pPr>
        <w:pStyle w:val="Prrafodelista"/>
        <w:numPr>
          <w:ilvl w:val="0"/>
          <w:numId w:val="3"/>
        </w:numPr>
        <w:rPr>
          <w:lang w:val="en-US"/>
        </w:rPr>
      </w:pPr>
      <w:r w:rsidRPr="6E1341A0">
        <w:rPr>
          <w:lang w:val="en-US"/>
        </w:rPr>
        <w:t>4 vacancies to join the TC are announced by Silvia:</w:t>
      </w:r>
    </w:p>
    <w:p w14:paraId="5384166C" w14:textId="6394C9FF" w:rsidR="41E48F72" w:rsidRDefault="41E48F72" w:rsidP="69DF61A8">
      <w:pPr>
        <w:pStyle w:val="Prrafodelista"/>
        <w:numPr>
          <w:ilvl w:val="1"/>
          <w:numId w:val="3"/>
        </w:numPr>
        <w:rPr>
          <w:lang w:val="en-US"/>
        </w:rPr>
      </w:pPr>
      <w:r w:rsidRPr="69DF61A8">
        <w:rPr>
          <w:lang w:val="en-US"/>
        </w:rPr>
        <w:t>One position for TC vice-chair</w:t>
      </w:r>
    </w:p>
    <w:p w14:paraId="50D5381A" w14:textId="4AD2FBA8" w:rsidR="41E48F72" w:rsidRDefault="41E48F72" w:rsidP="69DF61A8">
      <w:pPr>
        <w:pStyle w:val="Prrafodelista"/>
        <w:numPr>
          <w:ilvl w:val="1"/>
          <w:numId w:val="3"/>
        </w:numPr>
        <w:rPr>
          <w:lang w:val="en-US"/>
        </w:rPr>
      </w:pPr>
      <w:r w:rsidRPr="69DF61A8">
        <w:rPr>
          <w:lang w:val="en-US"/>
        </w:rPr>
        <w:t>Three positions for TC leading team members.</w:t>
      </w:r>
    </w:p>
    <w:p w14:paraId="5B590DAD" w14:textId="6C64C3DF" w:rsidR="41E48F72" w:rsidRDefault="41E48F72" w:rsidP="69DF61A8">
      <w:pPr>
        <w:ind w:left="360"/>
        <w:rPr>
          <w:lang w:val="en-US"/>
        </w:rPr>
      </w:pPr>
      <w:r w:rsidRPr="69DF61A8">
        <w:rPr>
          <w:lang w:val="en-US"/>
        </w:rPr>
        <w:t xml:space="preserve">Any IAHR members are invited to apply for the positions, including the current co-opted members as well as young professionals. The deadline </w:t>
      </w:r>
      <w:r w:rsidR="00D73EA2">
        <w:rPr>
          <w:lang w:val="en-US"/>
        </w:rPr>
        <w:t xml:space="preserve">was </w:t>
      </w:r>
      <w:r w:rsidR="00D73EA2" w:rsidRPr="00D73EA2">
        <w:rPr>
          <w:lang w:val="en-US"/>
        </w:rPr>
        <w:t>fixed for</w:t>
      </w:r>
      <w:r w:rsidRPr="00D73EA2">
        <w:rPr>
          <w:lang w:val="en-US"/>
        </w:rPr>
        <w:t xml:space="preserve"> </w:t>
      </w:r>
      <w:r w:rsidR="57A5EEF0" w:rsidRPr="00D73EA2">
        <w:rPr>
          <w:lang w:val="en-US"/>
        </w:rPr>
        <w:t>15 December an</w:t>
      </w:r>
      <w:r w:rsidR="57A5EEF0" w:rsidRPr="69DF61A8">
        <w:rPr>
          <w:lang w:val="en-US"/>
        </w:rPr>
        <w:t xml:space="preserve">d applications are to be sent to </w:t>
      </w:r>
      <w:hyperlink r:id="rId5">
        <w:r w:rsidR="57A5EEF0" w:rsidRPr="69DF61A8">
          <w:rPr>
            <w:rStyle w:val="Hipervnculo"/>
            <w:lang w:val="en-US"/>
          </w:rPr>
          <w:t>jenny.lu@iahr.org</w:t>
        </w:r>
      </w:hyperlink>
      <w:r w:rsidR="00D73EA2">
        <w:rPr>
          <w:lang w:val="en-US"/>
        </w:rPr>
        <w:t xml:space="preserve"> (this deadline has been recently </w:t>
      </w:r>
      <w:r w:rsidR="00D73EA2" w:rsidRPr="00D73EA2">
        <w:rPr>
          <w:b/>
          <w:bCs/>
          <w:lang w:val="en-US"/>
        </w:rPr>
        <w:t>extended to 18 January 2026</w:t>
      </w:r>
      <w:r w:rsidR="00D73EA2">
        <w:rPr>
          <w:lang w:val="en-US"/>
        </w:rPr>
        <w:t>).</w:t>
      </w:r>
    </w:p>
    <w:p w14:paraId="7F2B7957" w14:textId="63A47AA4" w:rsidR="57A5EEF0" w:rsidRDefault="02A1F39F" w:rsidP="69DF61A8">
      <w:pPr>
        <w:pStyle w:val="Prrafodelista"/>
        <w:numPr>
          <w:ilvl w:val="0"/>
          <w:numId w:val="3"/>
        </w:numPr>
        <w:rPr>
          <w:lang w:val="en-US"/>
        </w:rPr>
      </w:pPr>
      <w:r w:rsidRPr="6E1341A0">
        <w:rPr>
          <w:lang w:val="en-US"/>
        </w:rPr>
        <w:t>Silvia presents the new TC organization and transfers the chair to David.</w:t>
      </w:r>
    </w:p>
    <w:p w14:paraId="196141BA" w14:textId="7334BA5A" w:rsidR="6E1341A0" w:rsidRDefault="6E1341A0" w:rsidP="6E1341A0">
      <w:pPr>
        <w:pStyle w:val="Prrafodelista"/>
        <w:ind w:left="360"/>
        <w:rPr>
          <w:lang w:val="en-US"/>
        </w:rPr>
      </w:pPr>
    </w:p>
    <w:p w14:paraId="630C69B2" w14:textId="2923C94B" w:rsidR="27E27394" w:rsidRDefault="27E27394" w:rsidP="6E1341A0">
      <w:pPr>
        <w:rPr>
          <w:b/>
          <w:bCs/>
          <w:lang w:val="en-US"/>
        </w:rPr>
      </w:pPr>
      <w:r w:rsidRPr="6E1341A0">
        <w:rPr>
          <w:b/>
          <w:bCs/>
          <w:lang w:val="en-US"/>
        </w:rPr>
        <w:t>TC agenda for 2025-2028:</w:t>
      </w:r>
    </w:p>
    <w:p w14:paraId="63A2250F" w14:textId="6249054A" w:rsidR="27E27394" w:rsidRDefault="27E27394" w:rsidP="6E1341A0">
      <w:pPr>
        <w:pStyle w:val="Prrafodelista"/>
        <w:numPr>
          <w:ilvl w:val="0"/>
          <w:numId w:val="3"/>
        </w:numPr>
        <w:rPr>
          <w:lang w:val="en-US"/>
        </w:rPr>
      </w:pPr>
      <w:r w:rsidRPr="7F196ACB">
        <w:rPr>
          <w:lang w:val="en-US"/>
        </w:rPr>
        <w:t>A</w:t>
      </w:r>
      <w:r w:rsidR="5D93A995" w:rsidRPr="7F196ACB">
        <w:rPr>
          <w:lang w:val="en-US"/>
        </w:rPr>
        <w:t>ccording to IAHR by-laws</w:t>
      </w:r>
      <w:r w:rsidR="6058D58C" w:rsidRPr="7F196ACB">
        <w:rPr>
          <w:lang w:val="en-US"/>
        </w:rPr>
        <w:t xml:space="preserve"> as TC, we are committed as group to </w:t>
      </w:r>
      <w:r w:rsidR="753BA230" w:rsidRPr="7F196ACB">
        <w:rPr>
          <w:lang w:val="en-US"/>
        </w:rPr>
        <w:t>organize</w:t>
      </w:r>
      <w:r w:rsidR="6058D58C" w:rsidRPr="7F196ACB">
        <w:rPr>
          <w:lang w:val="en-US"/>
        </w:rPr>
        <w:t xml:space="preserve"> a biannual conference within the scope of our TC.</w:t>
      </w:r>
      <w:r w:rsidR="2A46480B" w:rsidRPr="7F196ACB">
        <w:rPr>
          <w:lang w:val="en-US"/>
        </w:rPr>
        <w:t xml:space="preserve"> </w:t>
      </w:r>
      <w:r w:rsidR="3DF3CDC1" w:rsidRPr="7F196ACB">
        <w:rPr>
          <w:lang w:val="en-US"/>
        </w:rPr>
        <w:t>Moreover, these conference</w:t>
      </w:r>
      <w:r w:rsidR="6FC4E543" w:rsidRPr="7F196ACB">
        <w:rPr>
          <w:lang w:val="en-US"/>
        </w:rPr>
        <w:t>s</w:t>
      </w:r>
      <w:r w:rsidR="3DF3CDC1" w:rsidRPr="7F196ACB">
        <w:rPr>
          <w:lang w:val="en-US"/>
        </w:rPr>
        <w:t xml:space="preserve"> are encouraged to be held in alternate years to the IAHR World Congress. Hence, our next symposium is </w:t>
      </w:r>
      <w:r w:rsidR="527B989A" w:rsidRPr="7F196ACB">
        <w:rPr>
          <w:lang w:val="en-US"/>
        </w:rPr>
        <w:t xml:space="preserve">pushed </w:t>
      </w:r>
      <w:r w:rsidR="6A7C357D" w:rsidRPr="7F196ACB">
        <w:rPr>
          <w:lang w:val="en-US"/>
        </w:rPr>
        <w:t>to be held on 2028</w:t>
      </w:r>
      <w:r w:rsidR="7A8B7780" w:rsidRPr="7F196ACB">
        <w:rPr>
          <w:lang w:val="en-US"/>
        </w:rPr>
        <w:t>.</w:t>
      </w:r>
    </w:p>
    <w:p w14:paraId="4FC809AE" w14:textId="63A6AA58" w:rsidR="69DF61A8" w:rsidRDefault="7A8B7780" w:rsidP="69DF61A8">
      <w:pPr>
        <w:pStyle w:val="Prrafodelista"/>
        <w:numPr>
          <w:ilvl w:val="0"/>
          <w:numId w:val="3"/>
        </w:numPr>
        <w:rPr>
          <w:lang w:val="en-US"/>
        </w:rPr>
      </w:pPr>
      <w:r w:rsidRPr="6E1341A0">
        <w:rPr>
          <w:lang w:val="en-US"/>
        </w:rPr>
        <w:t xml:space="preserve">On this basis, </w:t>
      </w:r>
      <w:r w:rsidR="6058D58C" w:rsidRPr="6E1341A0">
        <w:rPr>
          <w:lang w:val="en-US"/>
        </w:rPr>
        <w:t>David presents a tentative agenda for the next 2 years, including:</w:t>
      </w:r>
    </w:p>
    <w:p w14:paraId="37859059" w14:textId="016D279B" w:rsidR="6058D58C" w:rsidRDefault="6058D58C" w:rsidP="6E1341A0">
      <w:pPr>
        <w:pStyle w:val="Prrafodelista"/>
        <w:numPr>
          <w:ilvl w:val="1"/>
          <w:numId w:val="3"/>
        </w:numPr>
      </w:pPr>
      <w:r w:rsidRPr="6E1341A0">
        <w:rPr>
          <w:lang w:val="en-US"/>
        </w:rPr>
        <w:t>Gatherings:</w:t>
      </w:r>
    </w:p>
    <w:p w14:paraId="56C433AE" w14:textId="2987E78D" w:rsidR="157340EA" w:rsidRDefault="157340EA" w:rsidP="6E1341A0">
      <w:pPr>
        <w:pStyle w:val="Prrafodelista"/>
        <w:numPr>
          <w:ilvl w:val="2"/>
          <w:numId w:val="3"/>
        </w:numPr>
        <w:rPr>
          <w:lang w:val="en-US"/>
        </w:rPr>
      </w:pPr>
      <w:r w:rsidRPr="6E1341A0">
        <w:rPr>
          <w:lang w:val="en-US"/>
        </w:rPr>
        <w:t>Annual</w:t>
      </w:r>
      <w:r w:rsidR="6058D58C" w:rsidRPr="6E1341A0">
        <w:rPr>
          <w:lang w:val="en-US"/>
        </w:rPr>
        <w:t xml:space="preserve"> WG meeting</w:t>
      </w:r>
      <w:r w:rsidR="4F840A9F" w:rsidRPr="6E1341A0">
        <w:rPr>
          <w:lang w:val="en-US"/>
        </w:rPr>
        <w:t xml:space="preserve"> </w:t>
      </w:r>
      <w:r w:rsidR="6058D58C" w:rsidRPr="6E1341A0">
        <w:rPr>
          <w:lang w:val="en-US"/>
        </w:rPr>
        <w:t>(</w:t>
      </w:r>
      <w:r w:rsidR="3857FDA4" w:rsidRPr="6E1341A0">
        <w:rPr>
          <w:lang w:val="en-US"/>
        </w:rPr>
        <w:t>late</w:t>
      </w:r>
      <w:r w:rsidR="6058D58C" w:rsidRPr="6E1341A0">
        <w:rPr>
          <w:lang w:val="en-US"/>
        </w:rPr>
        <w:t xml:space="preserve"> 2026</w:t>
      </w:r>
      <w:r w:rsidR="67CA6676" w:rsidRPr="6E1341A0">
        <w:rPr>
          <w:lang w:val="en-US"/>
        </w:rPr>
        <w:t xml:space="preserve"> or early 2027</w:t>
      </w:r>
      <w:r w:rsidR="6058D58C" w:rsidRPr="6E1341A0">
        <w:rPr>
          <w:lang w:val="en-US"/>
        </w:rPr>
        <w:t>)</w:t>
      </w:r>
      <w:r w:rsidR="6C289F2F" w:rsidRPr="6E1341A0">
        <w:rPr>
          <w:lang w:val="en-US"/>
        </w:rPr>
        <w:t>: this could be held online or F2F. An option for a F2F meeting would be to align it with the IAHR World Congress.</w:t>
      </w:r>
    </w:p>
    <w:p w14:paraId="1C6DF709" w14:textId="0ADC5521" w:rsidR="6058D58C" w:rsidRPr="00D73EA2" w:rsidRDefault="6058D58C" w:rsidP="6E1341A0">
      <w:pPr>
        <w:pStyle w:val="Prrafodelista"/>
        <w:numPr>
          <w:ilvl w:val="2"/>
          <w:numId w:val="3"/>
        </w:numPr>
        <w:rPr>
          <w:lang w:val="en-GB"/>
        </w:rPr>
      </w:pPr>
      <w:r w:rsidRPr="00D73EA2">
        <w:rPr>
          <w:lang w:val="en-GB"/>
        </w:rPr>
        <w:t>2nd IAHR biannual Symposium on Transient Flows (</w:t>
      </w:r>
      <w:r w:rsidR="4CC4F03D" w:rsidRPr="00D73EA2">
        <w:rPr>
          <w:lang w:val="en-GB"/>
        </w:rPr>
        <w:t xml:space="preserve">early </w:t>
      </w:r>
      <w:r w:rsidRPr="00D73EA2">
        <w:rPr>
          <w:lang w:val="en-GB"/>
        </w:rPr>
        <w:t>2028)</w:t>
      </w:r>
    </w:p>
    <w:p w14:paraId="21D03D77" w14:textId="083FA102" w:rsidR="48F59C01" w:rsidRDefault="48F59C01" w:rsidP="6E1341A0">
      <w:pPr>
        <w:pStyle w:val="Prrafodelista"/>
        <w:numPr>
          <w:ilvl w:val="1"/>
          <w:numId w:val="3"/>
        </w:numPr>
        <w:rPr>
          <w:lang w:val="en-US"/>
        </w:rPr>
      </w:pPr>
      <w:r w:rsidRPr="6E1341A0">
        <w:rPr>
          <w:lang w:val="en-US"/>
        </w:rPr>
        <w:t>Ideas for trainings, webinars and workshops:</w:t>
      </w:r>
    </w:p>
    <w:p w14:paraId="55004F57" w14:textId="492335DB" w:rsidR="48F59C01" w:rsidRDefault="48F59C01" w:rsidP="6E1341A0">
      <w:pPr>
        <w:pStyle w:val="Prrafodelista"/>
        <w:numPr>
          <w:ilvl w:val="2"/>
          <w:numId w:val="3"/>
        </w:numPr>
        <w:rPr>
          <w:lang w:val="en-US"/>
        </w:rPr>
      </w:pPr>
      <w:r w:rsidRPr="6E1341A0">
        <w:rPr>
          <w:lang w:val="en-US"/>
        </w:rPr>
        <w:t>AI tools for transient flow analyses</w:t>
      </w:r>
      <w:r w:rsidRPr="00D73EA2">
        <w:rPr>
          <w:lang w:val="en-GB"/>
        </w:rPr>
        <w:br/>
      </w:r>
      <w:r w:rsidRPr="6E1341A0">
        <w:rPr>
          <w:lang w:val="en-US"/>
        </w:rPr>
        <w:t xml:space="preserve">(potential collaboration with </w:t>
      </w:r>
      <w:r w:rsidR="5EFAF642" w:rsidRPr="6E1341A0">
        <w:rPr>
          <w:lang w:val="en-US"/>
        </w:rPr>
        <w:t xml:space="preserve">TC </w:t>
      </w:r>
      <w:proofErr w:type="spellStart"/>
      <w:r w:rsidRPr="6E1341A0">
        <w:rPr>
          <w:lang w:val="en-US"/>
        </w:rPr>
        <w:t>Hydroinformatics</w:t>
      </w:r>
      <w:proofErr w:type="spellEnd"/>
      <w:r w:rsidRPr="6E1341A0">
        <w:rPr>
          <w:lang w:val="en-US"/>
        </w:rPr>
        <w:t>)</w:t>
      </w:r>
    </w:p>
    <w:p w14:paraId="2B88D109" w14:textId="65816D54" w:rsidR="48F59C01" w:rsidRDefault="48F59C01" w:rsidP="6E1341A0">
      <w:pPr>
        <w:pStyle w:val="Prrafodelista"/>
        <w:numPr>
          <w:ilvl w:val="2"/>
          <w:numId w:val="3"/>
        </w:numPr>
        <w:rPr>
          <w:lang w:val="en-US"/>
        </w:rPr>
      </w:pPr>
      <w:r w:rsidRPr="6E1341A0">
        <w:rPr>
          <w:lang w:val="en-US"/>
        </w:rPr>
        <w:lastRenderedPageBreak/>
        <w:t>Free-surface transient flows</w:t>
      </w:r>
      <w:r w:rsidRPr="00D73EA2">
        <w:rPr>
          <w:lang w:val="en-GB"/>
        </w:rPr>
        <w:br/>
      </w:r>
      <w:r w:rsidRPr="6E1341A0">
        <w:rPr>
          <w:lang w:val="en-US"/>
        </w:rPr>
        <w:t xml:space="preserve">(potential collaboration with </w:t>
      </w:r>
      <w:r w:rsidR="1583B264" w:rsidRPr="6E1341A0">
        <w:rPr>
          <w:lang w:val="en-US"/>
        </w:rPr>
        <w:t>TC Fluid Mechanics and/or TC Hydraulic Structures).</w:t>
      </w:r>
    </w:p>
    <w:p w14:paraId="505F3D27" w14:textId="6CEACA3F" w:rsidR="48F59C01" w:rsidRDefault="48F59C01" w:rsidP="6E1341A0">
      <w:pPr>
        <w:pStyle w:val="Prrafodelista"/>
        <w:numPr>
          <w:ilvl w:val="2"/>
          <w:numId w:val="3"/>
        </w:numPr>
        <w:rPr>
          <w:lang w:val="en-US"/>
        </w:rPr>
      </w:pPr>
      <w:r w:rsidRPr="6E1341A0">
        <w:rPr>
          <w:lang w:val="en-US"/>
        </w:rPr>
        <w:t>Experimental methods and instrumentation for transient flows</w:t>
      </w:r>
      <w:r w:rsidRPr="00D73EA2">
        <w:rPr>
          <w:lang w:val="en-GB"/>
        </w:rPr>
        <w:br/>
      </w:r>
      <w:r w:rsidR="2C35B165" w:rsidRPr="6E1341A0">
        <w:rPr>
          <w:lang w:val="en-US"/>
        </w:rPr>
        <w:t>(potential collaboration with TC Experimental Methods and Instrumentation)</w:t>
      </w:r>
    </w:p>
    <w:p w14:paraId="1747372F" w14:textId="5F4EC447" w:rsidR="48F59C01" w:rsidRDefault="48F59C01" w:rsidP="6E1341A0">
      <w:pPr>
        <w:pStyle w:val="Prrafodelista"/>
        <w:numPr>
          <w:ilvl w:val="2"/>
          <w:numId w:val="3"/>
        </w:numPr>
        <w:rPr>
          <w:lang w:val="en-US"/>
        </w:rPr>
      </w:pPr>
      <w:r w:rsidRPr="6E1341A0">
        <w:rPr>
          <w:lang w:val="en-US"/>
        </w:rPr>
        <w:t>Surge protection, mitigation and post-accident analysis</w:t>
      </w:r>
      <w:r w:rsidRPr="00D73EA2">
        <w:rPr>
          <w:lang w:val="en-GB"/>
        </w:rPr>
        <w:br/>
      </w:r>
      <w:r w:rsidR="4E4AF0EE" w:rsidRPr="6E1341A0">
        <w:rPr>
          <w:lang w:val="en-US"/>
        </w:rPr>
        <w:t>(potential collaboration with TC Hydraulic Structures and/or TC Hydraulic Machinery)</w:t>
      </w:r>
    </w:p>
    <w:p w14:paraId="3C9AB17E" w14:textId="76A28750" w:rsidR="48F59C01" w:rsidRDefault="48F59C01" w:rsidP="6E1341A0">
      <w:pPr>
        <w:pStyle w:val="Prrafodelista"/>
        <w:numPr>
          <w:ilvl w:val="2"/>
          <w:numId w:val="3"/>
        </w:numPr>
        <w:rPr>
          <w:lang w:val="en-US"/>
        </w:rPr>
      </w:pPr>
      <w:r w:rsidRPr="6E1341A0">
        <w:rPr>
          <w:lang w:val="en-US"/>
        </w:rPr>
        <w:t xml:space="preserve">Engineering codes and </w:t>
      </w:r>
      <w:r w:rsidR="0F142519" w:rsidRPr="6E1341A0">
        <w:rPr>
          <w:lang w:val="en-US"/>
        </w:rPr>
        <w:t>standards</w:t>
      </w:r>
      <w:r w:rsidRPr="6E1341A0">
        <w:rPr>
          <w:lang w:val="en-US"/>
        </w:rPr>
        <w:t xml:space="preserve"> for transient flows</w:t>
      </w:r>
      <w:r w:rsidR="4A1D272F" w:rsidRPr="6E1341A0">
        <w:rPr>
          <w:lang w:val="en-US"/>
        </w:rPr>
        <w:t xml:space="preserve"> </w:t>
      </w:r>
      <w:r w:rsidRPr="00D73EA2">
        <w:rPr>
          <w:lang w:val="en-GB"/>
        </w:rPr>
        <w:br/>
      </w:r>
      <w:r w:rsidR="4A1D272F" w:rsidRPr="6E1341A0">
        <w:rPr>
          <w:lang w:val="en-US"/>
        </w:rPr>
        <w:t>(potential collaboration with ANSI institute).</w:t>
      </w:r>
    </w:p>
    <w:p w14:paraId="5A8B3875" w14:textId="1333C3B4" w:rsidR="4A1D272F" w:rsidRDefault="4A1D272F" w:rsidP="6E1341A0">
      <w:pPr>
        <w:ind w:left="720"/>
        <w:rPr>
          <w:lang w:val="en-US"/>
        </w:rPr>
      </w:pPr>
      <w:r w:rsidRPr="6E1341A0">
        <w:rPr>
          <w:lang w:val="en-US"/>
        </w:rPr>
        <w:t xml:space="preserve">It </w:t>
      </w:r>
      <w:r w:rsidR="00396E05">
        <w:rPr>
          <w:lang w:val="en-US"/>
        </w:rPr>
        <w:t xml:space="preserve">is </w:t>
      </w:r>
      <w:r w:rsidR="3A517837" w:rsidRPr="6E1341A0">
        <w:rPr>
          <w:lang w:val="en-US"/>
        </w:rPr>
        <w:t>stressed</w:t>
      </w:r>
      <w:r w:rsidRPr="6E1341A0">
        <w:rPr>
          <w:lang w:val="en-US"/>
        </w:rPr>
        <w:t xml:space="preserve"> the willingness to involve/collaborate with other TC’s when implementing such ideas.</w:t>
      </w:r>
    </w:p>
    <w:p w14:paraId="024D49DF" w14:textId="4E72B25C" w:rsidR="1135B320" w:rsidRDefault="1135B320" w:rsidP="6E1341A0">
      <w:pPr>
        <w:pStyle w:val="Prrafodelista"/>
        <w:numPr>
          <w:ilvl w:val="0"/>
          <w:numId w:val="1"/>
        </w:numPr>
        <w:rPr>
          <w:lang w:val="en-US"/>
        </w:rPr>
      </w:pPr>
      <w:r w:rsidRPr="6E1341A0">
        <w:rPr>
          <w:lang w:val="en-US"/>
        </w:rPr>
        <w:t xml:space="preserve">It is suggested the </w:t>
      </w:r>
      <w:proofErr w:type="spellStart"/>
      <w:r w:rsidRPr="6E1341A0">
        <w:rPr>
          <w:lang w:val="en-US"/>
        </w:rPr>
        <w:t>organisation</w:t>
      </w:r>
      <w:proofErr w:type="spellEnd"/>
      <w:r w:rsidRPr="6E1341A0">
        <w:rPr>
          <w:lang w:val="en-US"/>
        </w:rPr>
        <w:t xml:space="preserve"> of a competition (whether student paper, or engineering challenge like) </w:t>
      </w:r>
      <w:r w:rsidR="42289E00" w:rsidRPr="6E1341A0">
        <w:rPr>
          <w:lang w:val="en-US"/>
        </w:rPr>
        <w:t>in the framework on the 2</w:t>
      </w:r>
      <w:r w:rsidR="42289E00" w:rsidRPr="6E1341A0">
        <w:rPr>
          <w:vertAlign w:val="superscript"/>
          <w:lang w:val="en-US"/>
        </w:rPr>
        <w:t>nd</w:t>
      </w:r>
      <w:r w:rsidR="42289E00" w:rsidRPr="6E1341A0">
        <w:rPr>
          <w:lang w:val="en-US"/>
        </w:rPr>
        <w:t xml:space="preserve"> IAHR Symposium on Transient Flows.</w:t>
      </w:r>
    </w:p>
    <w:p w14:paraId="4D67BE1D" w14:textId="462C72E9" w:rsidR="182D1056" w:rsidRDefault="182D1056" w:rsidP="6E1341A0">
      <w:pPr>
        <w:pStyle w:val="Prrafodelista"/>
        <w:numPr>
          <w:ilvl w:val="0"/>
          <w:numId w:val="1"/>
        </w:numPr>
        <w:rPr>
          <w:lang w:val="en-US"/>
        </w:rPr>
      </w:pPr>
      <w:r w:rsidRPr="6E1341A0">
        <w:rPr>
          <w:lang w:val="en-US"/>
        </w:rPr>
        <w:t xml:space="preserve">It is suggested the </w:t>
      </w:r>
      <w:proofErr w:type="spellStart"/>
      <w:r w:rsidRPr="6E1341A0">
        <w:rPr>
          <w:lang w:val="en-US"/>
        </w:rPr>
        <w:t>organisation</w:t>
      </w:r>
      <w:proofErr w:type="spellEnd"/>
      <w:r w:rsidRPr="6E1341A0">
        <w:rPr>
          <w:lang w:val="en-US"/>
        </w:rPr>
        <w:t xml:space="preserve"> of a </w:t>
      </w:r>
      <w:proofErr w:type="spellStart"/>
      <w:r w:rsidRPr="6E1341A0">
        <w:rPr>
          <w:lang w:val="en-US"/>
        </w:rPr>
        <w:t>Hackaton</w:t>
      </w:r>
      <w:proofErr w:type="spellEnd"/>
      <w:r w:rsidRPr="6E1341A0">
        <w:rPr>
          <w:lang w:val="en-US"/>
        </w:rPr>
        <w:t xml:space="preserve">, aligned with the competition (mentioned above). Such </w:t>
      </w:r>
      <w:proofErr w:type="spellStart"/>
      <w:r w:rsidRPr="6E1341A0">
        <w:rPr>
          <w:lang w:val="en-US"/>
        </w:rPr>
        <w:t>Hackaton</w:t>
      </w:r>
      <w:proofErr w:type="spellEnd"/>
      <w:r w:rsidRPr="6E1341A0">
        <w:rPr>
          <w:lang w:val="en-US"/>
        </w:rPr>
        <w:t xml:space="preserve"> ideally should be F2F. </w:t>
      </w:r>
      <w:r w:rsidR="367836FE" w:rsidRPr="6E1341A0">
        <w:rPr>
          <w:lang w:val="en-US"/>
        </w:rPr>
        <w:t>The IAHR WC could be a good context for the purpose.</w:t>
      </w:r>
    </w:p>
    <w:p w14:paraId="0FE5012C" w14:textId="27185B29" w:rsidR="42289E00" w:rsidRDefault="42289E00" w:rsidP="6E1341A0">
      <w:pPr>
        <w:pStyle w:val="Prrafodelista"/>
        <w:numPr>
          <w:ilvl w:val="0"/>
          <w:numId w:val="1"/>
        </w:numPr>
        <w:rPr>
          <w:lang w:val="en-US"/>
        </w:rPr>
      </w:pPr>
      <w:r w:rsidRPr="6E1341A0">
        <w:rPr>
          <w:lang w:val="en-US"/>
        </w:rPr>
        <w:t xml:space="preserve">It is suggested to </w:t>
      </w:r>
      <w:r w:rsidR="25AD1ED4" w:rsidRPr="6E1341A0">
        <w:rPr>
          <w:lang w:val="en-US"/>
        </w:rPr>
        <w:t xml:space="preserve">explore </w:t>
      </w:r>
      <w:r w:rsidRPr="6E1341A0">
        <w:rPr>
          <w:lang w:val="en-US"/>
        </w:rPr>
        <w:t>with other</w:t>
      </w:r>
      <w:r w:rsidR="53C0AF31" w:rsidRPr="6E1341A0">
        <w:rPr>
          <w:lang w:val="en-US"/>
        </w:rPr>
        <w:t xml:space="preserve"> associations</w:t>
      </w:r>
      <w:r w:rsidR="54F90B4D" w:rsidRPr="6E1341A0">
        <w:rPr>
          <w:lang w:val="en-US"/>
        </w:rPr>
        <w:t xml:space="preserve"> (e.g. IWRS or ASCE) the possibility of joint initiatives.</w:t>
      </w:r>
    </w:p>
    <w:p w14:paraId="1E49346E" w14:textId="25C253DA" w:rsidR="6FCC343A" w:rsidRDefault="6FCC343A" w:rsidP="6E1341A0">
      <w:pPr>
        <w:pStyle w:val="Prrafodelista"/>
        <w:numPr>
          <w:ilvl w:val="0"/>
          <w:numId w:val="1"/>
        </w:numPr>
        <w:rPr>
          <w:lang w:val="en-US"/>
        </w:rPr>
      </w:pPr>
      <w:r w:rsidRPr="6E1341A0">
        <w:rPr>
          <w:lang w:val="en-US"/>
        </w:rPr>
        <w:t>It is suggested to explore and discuss collaborations with TC on Hydraulic Machinery, as they have a group working on cavitation.</w:t>
      </w:r>
      <w:r w:rsidRPr="00D73EA2">
        <w:rPr>
          <w:lang w:val="en-GB"/>
        </w:rPr>
        <w:br/>
      </w:r>
    </w:p>
    <w:p w14:paraId="7273F88D" w14:textId="36E61219" w:rsidR="69DF61A8" w:rsidRDefault="2439AA5D" w:rsidP="6E1341A0">
      <w:pPr>
        <w:ind w:left="360"/>
        <w:rPr>
          <w:b/>
          <w:bCs/>
          <w:lang w:val="en-US"/>
        </w:rPr>
      </w:pPr>
      <w:r w:rsidRPr="6E1341A0">
        <w:rPr>
          <w:b/>
          <w:bCs/>
          <w:lang w:val="en-US"/>
        </w:rPr>
        <w:t>Any other business:</w:t>
      </w:r>
    </w:p>
    <w:p w14:paraId="7419704F" w14:textId="28A3F51D" w:rsidR="2439AA5D" w:rsidRDefault="2439AA5D" w:rsidP="6E1341A0">
      <w:pPr>
        <w:pStyle w:val="Prrafodelista"/>
        <w:numPr>
          <w:ilvl w:val="0"/>
          <w:numId w:val="2"/>
        </w:numPr>
        <w:rPr>
          <w:lang w:val="en-US"/>
        </w:rPr>
      </w:pPr>
      <w:r w:rsidRPr="6E1341A0">
        <w:rPr>
          <w:lang w:val="en-US"/>
        </w:rPr>
        <w:t xml:space="preserve">David highlights the fact that according to IAHR by-laws the vice-chair position is a 6-year commitment, i.e. 2 years as vice-chair + 2 years as chair + 2 years as past chair. Moreover, such commitment is beyond TC scope, as during the </w:t>
      </w:r>
      <w:proofErr w:type="spellStart"/>
      <w:r w:rsidRPr="6E1341A0">
        <w:rPr>
          <w:lang w:val="en-US"/>
        </w:rPr>
        <w:t>chairship</w:t>
      </w:r>
      <w:proofErr w:type="spellEnd"/>
      <w:r w:rsidRPr="6E1341A0">
        <w:rPr>
          <w:lang w:val="en-US"/>
        </w:rPr>
        <w:t xml:space="preserve"> period the TC chair is also an IAHR council member.</w:t>
      </w:r>
    </w:p>
    <w:p w14:paraId="51BDF896" w14:textId="1368FB3A" w:rsidR="14236E26" w:rsidRDefault="14236E26" w:rsidP="6E1341A0">
      <w:pPr>
        <w:pStyle w:val="Prrafodelista"/>
        <w:numPr>
          <w:ilvl w:val="0"/>
          <w:numId w:val="2"/>
        </w:numPr>
        <w:rPr>
          <w:lang w:val="en-US"/>
        </w:rPr>
      </w:pPr>
      <w:r w:rsidRPr="6E1341A0">
        <w:rPr>
          <w:lang w:val="en-US"/>
        </w:rPr>
        <w:t xml:space="preserve">It is suggested to keep an eye open to the progress of Pressure Surges conference </w:t>
      </w:r>
      <w:proofErr w:type="spellStart"/>
      <w:r w:rsidRPr="6E1341A0">
        <w:rPr>
          <w:lang w:val="en-US"/>
        </w:rPr>
        <w:t>organisation</w:t>
      </w:r>
      <w:proofErr w:type="spellEnd"/>
      <w:r w:rsidRPr="6E1341A0">
        <w:rPr>
          <w:lang w:val="en-US"/>
        </w:rPr>
        <w:t>. As at a certai</w:t>
      </w:r>
      <w:r w:rsidR="404C7F67" w:rsidRPr="6E1341A0">
        <w:rPr>
          <w:lang w:val="en-US"/>
        </w:rPr>
        <w:t>n point they may need support from an association like IAHR.</w:t>
      </w:r>
    </w:p>
    <w:p w14:paraId="30B8860B" w14:textId="24DB5F7D" w:rsidR="6E1341A0" w:rsidRDefault="6E1341A0" w:rsidP="6E1341A0">
      <w:pPr>
        <w:ind w:left="360"/>
        <w:rPr>
          <w:lang w:val="en-US"/>
        </w:rPr>
      </w:pPr>
    </w:p>
    <w:p w14:paraId="13549F6B" w14:textId="75EF031E" w:rsidR="69DF61A8" w:rsidRDefault="69DF61A8" w:rsidP="69DF61A8">
      <w:pPr>
        <w:rPr>
          <w:lang w:val="en-US"/>
        </w:rPr>
      </w:pPr>
    </w:p>
    <w:sectPr w:rsidR="69DF61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926F"/>
    <w:multiLevelType w:val="hybridMultilevel"/>
    <w:tmpl w:val="3322136C"/>
    <w:lvl w:ilvl="0" w:tplc="6D1C4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B4AB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B0DD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340D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4857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26C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06A8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DAEC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EAB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40FB08"/>
    <w:multiLevelType w:val="hybridMultilevel"/>
    <w:tmpl w:val="AF3C302E"/>
    <w:lvl w:ilvl="0" w:tplc="B046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83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7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2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2E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A5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44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AB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F168"/>
    <w:multiLevelType w:val="hybridMultilevel"/>
    <w:tmpl w:val="18B2B9C0"/>
    <w:lvl w:ilvl="0" w:tplc="8B0CC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0CD770">
      <w:start w:val="1"/>
      <w:numFmt w:val="lowerLetter"/>
      <w:lvlText w:val="%2."/>
      <w:lvlJc w:val="left"/>
      <w:pPr>
        <w:ind w:left="1080" w:hanging="360"/>
      </w:pPr>
    </w:lvl>
    <w:lvl w:ilvl="2" w:tplc="804A3432">
      <w:start w:val="1"/>
      <w:numFmt w:val="lowerRoman"/>
      <w:lvlText w:val="%3."/>
      <w:lvlJc w:val="right"/>
      <w:pPr>
        <w:ind w:left="1800" w:hanging="180"/>
      </w:pPr>
    </w:lvl>
    <w:lvl w:ilvl="3" w:tplc="BD4CAE8A">
      <w:start w:val="1"/>
      <w:numFmt w:val="decimal"/>
      <w:lvlText w:val="%4."/>
      <w:lvlJc w:val="left"/>
      <w:pPr>
        <w:ind w:left="2520" w:hanging="360"/>
      </w:pPr>
    </w:lvl>
    <w:lvl w:ilvl="4" w:tplc="815E57B2">
      <w:start w:val="1"/>
      <w:numFmt w:val="lowerLetter"/>
      <w:lvlText w:val="%5."/>
      <w:lvlJc w:val="left"/>
      <w:pPr>
        <w:ind w:left="3240" w:hanging="360"/>
      </w:pPr>
    </w:lvl>
    <w:lvl w:ilvl="5" w:tplc="BD5879BC">
      <w:start w:val="1"/>
      <w:numFmt w:val="lowerRoman"/>
      <w:lvlText w:val="%6."/>
      <w:lvlJc w:val="right"/>
      <w:pPr>
        <w:ind w:left="3960" w:hanging="180"/>
      </w:pPr>
    </w:lvl>
    <w:lvl w:ilvl="6" w:tplc="9F64408E">
      <w:start w:val="1"/>
      <w:numFmt w:val="decimal"/>
      <w:lvlText w:val="%7."/>
      <w:lvlJc w:val="left"/>
      <w:pPr>
        <w:ind w:left="4680" w:hanging="360"/>
      </w:pPr>
    </w:lvl>
    <w:lvl w:ilvl="7" w:tplc="E41EEED2">
      <w:start w:val="1"/>
      <w:numFmt w:val="lowerLetter"/>
      <w:lvlText w:val="%8."/>
      <w:lvlJc w:val="left"/>
      <w:pPr>
        <w:ind w:left="5400" w:hanging="360"/>
      </w:pPr>
    </w:lvl>
    <w:lvl w:ilvl="8" w:tplc="997A8CCC">
      <w:start w:val="1"/>
      <w:numFmt w:val="lowerRoman"/>
      <w:lvlText w:val="%9."/>
      <w:lvlJc w:val="right"/>
      <w:pPr>
        <w:ind w:left="6120" w:hanging="180"/>
      </w:pPr>
    </w:lvl>
  </w:abstractNum>
  <w:num w:numId="1" w16cid:durableId="333730256">
    <w:abstractNumId w:val="0"/>
  </w:num>
  <w:num w:numId="2" w16cid:durableId="1816294318">
    <w:abstractNumId w:val="1"/>
  </w:num>
  <w:num w:numId="3" w16cid:durableId="84286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14460"/>
    <w:rsid w:val="0014636E"/>
    <w:rsid w:val="00396E05"/>
    <w:rsid w:val="007B5549"/>
    <w:rsid w:val="00CD5636"/>
    <w:rsid w:val="00CDE14F"/>
    <w:rsid w:val="00D73EA2"/>
    <w:rsid w:val="01BC6FF0"/>
    <w:rsid w:val="02A1F39F"/>
    <w:rsid w:val="0423FC4A"/>
    <w:rsid w:val="05FEF874"/>
    <w:rsid w:val="07A5CB19"/>
    <w:rsid w:val="07B19367"/>
    <w:rsid w:val="0996D626"/>
    <w:rsid w:val="0B0118AE"/>
    <w:rsid w:val="0C27BBC8"/>
    <w:rsid w:val="0CFEFF20"/>
    <w:rsid w:val="0DDD4D79"/>
    <w:rsid w:val="0F142519"/>
    <w:rsid w:val="0F58E386"/>
    <w:rsid w:val="106B8030"/>
    <w:rsid w:val="1135B320"/>
    <w:rsid w:val="14236E26"/>
    <w:rsid w:val="142E27BE"/>
    <w:rsid w:val="151226A4"/>
    <w:rsid w:val="157340EA"/>
    <w:rsid w:val="1583B264"/>
    <w:rsid w:val="170B49EF"/>
    <w:rsid w:val="182D1056"/>
    <w:rsid w:val="1C01B8C3"/>
    <w:rsid w:val="1C7FE481"/>
    <w:rsid w:val="1D1C4468"/>
    <w:rsid w:val="1DE90E9A"/>
    <w:rsid w:val="1E891CFD"/>
    <w:rsid w:val="1EE5488F"/>
    <w:rsid w:val="20D83591"/>
    <w:rsid w:val="21C07411"/>
    <w:rsid w:val="229C4672"/>
    <w:rsid w:val="22EC3134"/>
    <w:rsid w:val="23974995"/>
    <w:rsid w:val="2439AA5D"/>
    <w:rsid w:val="2443D7F1"/>
    <w:rsid w:val="25AD1ED4"/>
    <w:rsid w:val="27E27394"/>
    <w:rsid w:val="29038173"/>
    <w:rsid w:val="2A46480B"/>
    <w:rsid w:val="2B7FF22A"/>
    <w:rsid w:val="2BC83C8F"/>
    <w:rsid w:val="2C35B165"/>
    <w:rsid w:val="2C70C680"/>
    <w:rsid w:val="303BD9E7"/>
    <w:rsid w:val="3089A80A"/>
    <w:rsid w:val="330D5D54"/>
    <w:rsid w:val="3315A498"/>
    <w:rsid w:val="338A977E"/>
    <w:rsid w:val="34822D8D"/>
    <w:rsid w:val="348CFC02"/>
    <w:rsid w:val="35133758"/>
    <w:rsid w:val="367836FE"/>
    <w:rsid w:val="37465398"/>
    <w:rsid w:val="3857FDA4"/>
    <w:rsid w:val="38FFD41D"/>
    <w:rsid w:val="393ED667"/>
    <w:rsid w:val="39D69D75"/>
    <w:rsid w:val="3A517837"/>
    <w:rsid w:val="3B068841"/>
    <w:rsid w:val="3B28F034"/>
    <w:rsid w:val="3C754500"/>
    <w:rsid w:val="3D501A83"/>
    <w:rsid w:val="3DA32261"/>
    <w:rsid w:val="3DF3CDC1"/>
    <w:rsid w:val="3E8940D2"/>
    <w:rsid w:val="3F1A720E"/>
    <w:rsid w:val="3F1E26A8"/>
    <w:rsid w:val="404C7F67"/>
    <w:rsid w:val="41E48F72"/>
    <w:rsid w:val="42289E00"/>
    <w:rsid w:val="42E8BC02"/>
    <w:rsid w:val="4328B4C0"/>
    <w:rsid w:val="44339ACE"/>
    <w:rsid w:val="4606EED0"/>
    <w:rsid w:val="4636E08A"/>
    <w:rsid w:val="47D9235A"/>
    <w:rsid w:val="48F59C01"/>
    <w:rsid w:val="4950AB16"/>
    <w:rsid w:val="4A1D272F"/>
    <w:rsid w:val="4B4986C0"/>
    <w:rsid w:val="4C44B86C"/>
    <w:rsid w:val="4CC4F03D"/>
    <w:rsid w:val="4E4AF0EE"/>
    <w:rsid w:val="4EC82E30"/>
    <w:rsid w:val="4F840A9F"/>
    <w:rsid w:val="51645892"/>
    <w:rsid w:val="527B989A"/>
    <w:rsid w:val="52D7F6C5"/>
    <w:rsid w:val="53C0AF31"/>
    <w:rsid w:val="54F90B4D"/>
    <w:rsid w:val="57681A92"/>
    <w:rsid w:val="57A5EEF0"/>
    <w:rsid w:val="584B73E0"/>
    <w:rsid w:val="586ED86F"/>
    <w:rsid w:val="592F2F76"/>
    <w:rsid w:val="596DC7A3"/>
    <w:rsid w:val="59836A3E"/>
    <w:rsid w:val="599B33DE"/>
    <w:rsid w:val="59B7A69C"/>
    <w:rsid w:val="5D93A995"/>
    <w:rsid w:val="5E9935DB"/>
    <w:rsid w:val="5ED0E1C9"/>
    <w:rsid w:val="5EE5D75A"/>
    <w:rsid w:val="5EFAF642"/>
    <w:rsid w:val="6058D58C"/>
    <w:rsid w:val="615A027D"/>
    <w:rsid w:val="61D3DD23"/>
    <w:rsid w:val="620BC13E"/>
    <w:rsid w:val="637AAA8A"/>
    <w:rsid w:val="6382F249"/>
    <w:rsid w:val="63E42163"/>
    <w:rsid w:val="64B82629"/>
    <w:rsid w:val="6593A5E5"/>
    <w:rsid w:val="65D5ADF5"/>
    <w:rsid w:val="66A815A4"/>
    <w:rsid w:val="671D8B41"/>
    <w:rsid w:val="673C8C03"/>
    <w:rsid w:val="679614EF"/>
    <w:rsid w:val="67CA6676"/>
    <w:rsid w:val="69D14460"/>
    <w:rsid w:val="69DF61A8"/>
    <w:rsid w:val="6A7C357D"/>
    <w:rsid w:val="6C289F2F"/>
    <w:rsid w:val="6DFE116E"/>
    <w:rsid w:val="6E1341A0"/>
    <w:rsid w:val="6EEA8494"/>
    <w:rsid w:val="6FC4E543"/>
    <w:rsid w:val="6FCC343A"/>
    <w:rsid w:val="72C2D78E"/>
    <w:rsid w:val="74551D4B"/>
    <w:rsid w:val="753BA230"/>
    <w:rsid w:val="75BF9B8C"/>
    <w:rsid w:val="75F5B528"/>
    <w:rsid w:val="760F3D3A"/>
    <w:rsid w:val="765D11E3"/>
    <w:rsid w:val="768C317D"/>
    <w:rsid w:val="770F0725"/>
    <w:rsid w:val="77D63B85"/>
    <w:rsid w:val="789BF504"/>
    <w:rsid w:val="78E3E2B1"/>
    <w:rsid w:val="79EB8EBE"/>
    <w:rsid w:val="7A8B7780"/>
    <w:rsid w:val="7AC482E4"/>
    <w:rsid w:val="7C678FDF"/>
    <w:rsid w:val="7D5CF1B7"/>
    <w:rsid w:val="7DCDBE4D"/>
    <w:rsid w:val="7E9E868D"/>
    <w:rsid w:val="7F196ACB"/>
    <w:rsid w:val="7FB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4460"/>
  <w15:chartTrackingRefBased/>
  <w15:docId w15:val="{8B49879D-943C-478D-B3F9-D26BEE7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69DF61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69DF61A8"/>
    <w:rPr>
      <w:color w:val="467886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.lu@iah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FERRAS SEGURA, DAVID</dc:creator>
  <cp:keywords/>
  <dc:description/>
  <cp:lastModifiedBy>FERRAS SEGURA, DAVID</cp:lastModifiedBy>
  <cp:revision>4</cp:revision>
  <dcterms:created xsi:type="dcterms:W3CDTF">2025-11-27T13:14:00Z</dcterms:created>
  <dcterms:modified xsi:type="dcterms:W3CDTF">2025-12-19T08:32:00Z</dcterms:modified>
</cp:coreProperties>
</file>